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F59" w:rsidRDefault="004F514B" w:rsidP="00EB340D">
      <w:pPr>
        <w:jc w:val="right"/>
      </w:pPr>
      <w:r>
        <w:rPr>
          <w:noProof/>
          <w:lang w:eastAsia="it-IT"/>
        </w:rPr>
        <w:drawing>
          <wp:inline distT="0" distB="0" distL="0" distR="0">
            <wp:extent cx="6417310" cy="907224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_FV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F59" w:rsidRDefault="00807F59">
      <w:pPr>
        <w:sectPr w:rsidR="00807F59" w:rsidSect="00ED463F">
          <w:footerReference w:type="default" r:id="rId9"/>
          <w:pgSz w:w="11906" w:h="16838"/>
          <w:pgMar w:top="1417" w:right="566" w:bottom="1134" w:left="993" w:header="708" w:footer="708" w:gutter="0"/>
          <w:cols w:space="708"/>
          <w:titlePg/>
          <w:docGrid w:linePitch="360"/>
        </w:sectPr>
      </w:pPr>
    </w:p>
    <w:p w:rsidR="006A7A31" w:rsidRDefault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6A7A31" w:rsidRDefault="006A7A31" w:rsidP="006A7A31">
      <w:pPr>
        <w:rPr>
          <w:rFonts w:ascii="Calibri" w:eastAsia="Times New Roman" w:hAnsi="Calibri" w:cs="Times New Roman"/>
          <w:sz w:val="24"/>
          <w:szCs w:val="24"/>
          <w:lang w:eastAsia="it-IT"/>
        </w:rPr>
      </w:pPr>
    </w:p>
    <w:p w:rsidR="00E40419" w:rsidRDefault="00E40419">
      <w:pPr>
        <w:rPr>
          <w:rFonts w:ascii="Calibri" w:eastAsia="Times New Roman" w:hAnsi="Calibri" w:cs="Times New Roman"/>
          <w:sz w:val="24"/>
          <w:szCs w:val="24"/>
          <w:lang w:eastAsia="it-IT"/>
        </w:rPr>
      </w:pPr>
      <w:r>
        <w:rPr>
          <w:rFonts w:ascii="Calibri" w:eastAsia="Times New Roman" w:hAnsi="Calibri" w:cs="Times New Roman"/>
          <w:sz w:val="24"/>
          <w:szCs w:val="24"/>
          <w:lang w:eastAsia="it-IT"/>
        </w:rPr>
        <w:br w:type="page"/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5"/>
        <w:gridCol w:w="7833"/>
      </w:tblGrid>
      <w:tr w:rsidR="00A97E8E" w:rsidTr="00B534CE">
        <w:tc>
          <w:tcPr>
            <w:tcW w:w="1809" w:type="dxa"/>
          </w:tcPr>
          <w:p w:rsidR="00A97E8E" w:rsidRDefault="00A97E8E" w:rsidP="00B0788D"/>
          <w:p w:rsidR="00A97E8E" w:rsidRDefault="00A97E8E" w:rsidP="00B0788D">
            <w:pPr>
              <w:rPr>
                <w:i/>
              </w:rPr>
            </w:pPr>
          </w:p>
          <w:p w:rsidR="00166835" w:rsidRDefault="00166835" w:rsidP="00B0788D">
            <w:pPr>
              <w:rPr>
                <w:i/>
              </w:rPr>
            </w:pPr>
          </w:p>
          <w:p w:rsidR="004F514B" w:rsidRDefault="004F514B" w:rsidP="00B0788D">
            <w:pPr>
              <w:rPr>
                <w:i/>
              </w:rPr>
            </w:pPr>
          </w:p>
          <w:p w:rsidR="004F514B" w:rsidRDefault="004F514B" w:rsidP="00B0788D">
            <w:pPr>
              <w:rPr>
                <w:i/>
              </w:rPr>
            </w:pPr>
          </w:p>
          <w:p w:rsidR="004F514B" w:rsidRDefault="004F514B" w:rsidP="00B0788D">
            <w:pPr>
              <w:rPr>
                <w:i/>
              </w:rPr>
            </w:pPr>
          </w:p>
          <w:p w:rsidR="004F514B" w:rsidRDefault="004F514B" w:rsidP="00B0788D">
            <w:pPr>
              <w:rPr>
                <w:i/>
              </w:rPr>
            </w:pPr>
          </w:p>
          <w:p w:rsidR="004F514B" w:rsidRDefault="004F514B" w:rsidP="00B0788D">
            <w:pPr>
              <w:rPr>
                <w:i/>
              </w:rPr>
            </w:pPr>
          </w:p>
          <w:p w:rsidR="004F514B" w:rsidRDefault="004F514B" w:rsidP="00B0788D">
            <w:pPr>
              <w:rPr>
                <w:i/>
              </w:rPr>
            </w:pPr>
          </w:p>
          <w:p w:rsidR="004F514B" w:rsidRDefault="004F514B" w:rsidP="00B0788D">
            <w:pPr>
              <w:rPr>
                <w:i/>
              </w:rPr>
            </w:pPr>
          </w:p>
          <w:p w:rsidR="004F514B" w:rsidRDefault="004F514B" w:rsidP="00B0788D">
            <w:pPr>
              <w:rPr>
                <w:i/>
              </w:rPr>
            </w:pPr>
          </w:p>
          <w:p w:rsidR="004F514B" w:rsidRDefault="004F514B" w:rsidP="00B0788D">
            <w:pPr>
              <w:rPr>
                <w:i/>
              </w:rPr>
            </w:pPr>
          </w:p>
          <w:p w:rsidR="00166835" w:rsidRDefault="00166835" w:rsidP="00B0788D">
            <w:pPr>
              <w:rPr>
                <w:i/>
              </w:rPr>
            </w:pPr>
            <w:r>
              <w:rPr>
                <w:i/>
              </w:rPr>
              <w:t>Invecchiamento demografico</w:t>
            </w:r>
          </w:p>
          <w:p w:rsidR="00166835" w:rsidRDefault="00166835" w:rsidP="00B0788D">
            <w:pPr>
              <w:rPr>
                <w:i/>
              </w:rPr>
            </w:pPr>
          </w:p>
          <w:p w:rsidR="00166835" w:rsidRDefault="00166835" w:rsidP="00B0788D">
            <w:pPr>
              <w:rPr>
                <w:i/>
              </w:rPr>
            </w:pPr>
          </w:p>
          <w:p w:rsidR="00166835" w:rsidRDefault="00166835" w:rsidP="00B0788D">
            <w:pPr>
              <w:rPr>
                <w:i/>
              </w:rPr>
            </w:pPr>
          </w:p>
          <w:p w:rsidR="00166835" w:rsidRDefault="00166835" w:rsidP="00B0788D">
            <w:pPr>
              <w:rPr>
                <w:i/>
              </w:rPr>
            </w:pPr>
          </w:p>
          <w:p w:rsidR="00166835" w:rsidRDefault="00166835" w:rsidP="00B0788D">
            <w:pPr>
              <w:rPr>
                <w:i/>
              </w:rPr>
            </w:pPr>
          </w:p>
          <w:p w:rsidR="00166835" w:rsidRDefault="00166835" w:rsidP="00B0788D">
            <w:pPr>
              <w:rPr>
                <w:i/>
              </w:rPr>
            </w:pPr>
          </w:p>
          <w:p w:rsidR="00166835" w:rsidRDefault="00166835" w:rsidP="00B0788D">
            <w:pPr>
              <w:rPr>
                <w:i/>
              </w:rPr>
            </w:pPr>
          </w:p>
          <w:p w:rsidR="00166835" w:rsidRDefault="00166835" w:rsidP="00B0788D">
            <w:pPr>
              <w:rPr>
                <w:i/>
              </w:rPr>
            </w:pPr>
          </w:p>
          <w:p w:rsidR="00166835" w:rsidRDefault="00166835" w:rsidP="00B0788D">
            <w:pPr>
              <w:rPr>
                <w:i/>
              </w:rPr>
            </w:pPr>
          </w:p>
          <w:p w:rsidR="00166835" w:rsidRDefault="00166835" w:rsidP="00B0788D">
            <w:pPr>
              <w:rPr>
                <w:i/>
              </w:rPr>
            </w:pPr>
          </w:p>
          <w:p w:rsidR="00166835" w:rsidRDefault="00BE0343" w:rsidP="00B0788D">
            <w:pPr>
              <w:rPr>
                <w:i/>
              </w:rPr>
            </w:pPr>
            <w:r>
              <w:rPr>
                <w:i/>
              </w:rPr>
              <w:t>Presenza straniera</w:t>
            </w:r>
            <w:r w:rsidR="00746687">
              <w:rPr>
                <w:i/>
              </w:rPr>
              <w:t xml:space="preserve"> </w:t>
            </w:r>
          </w:p>
          <w:p w:rsidR="00166835" w:rsidRDefault="00166835" w:rsidP="00B0788D">
            <w:pPr>
              <w:rPr>
                <w:i/>
              </w:rPr>
            </w:pPr>
          </w:p>
          <w:p w:rsidR="00166835" w:rsidRDefault="00166835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  <w:r>
              <w:rPr>
                <w:i/>
              </w:rPr>
              <w:t>Bassa diffusione imprenditoriale</w:t>
            </w: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  <w:r>
              <w:rPr>
                <w:i/>
              </w:rPr>
              <w:t>Più imprese rosa</w:t>
            </w: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  <w:r>
              <w:rPr>
                <w:i/>
              </w:rPr>
              <w:t>Meno imprese giovanili</w:t>
            </w: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  <w:r>
              <w:rPr>
                <w:i/>
              </w:rPr>
              <w:t>Più imprese straniere</w:t>
            </w: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  <w:r>
              <w:rPr>
                <w:i/>
              </w:rPr>
              <w:t>Poche società           di capitali</w:t>
            </w: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</w:p>
          <w:p w:rsidR="00B0788D" w:rsidRDefault="00B0788D" w:rsidP="00B0788D">
            <w:pPr>
              <w:rPr>
                <w:i/>
              </w:rPr>
            </w:pPr>
          </w:p>
          <w:p w:rsidR="00B0788D" w:rsidRPr="000353B9" w:rsidRDefault="00B0788D" w:rsidP="00B0788D">
            <w:pPr>
              <w:rPr>
                <w:i/>
              </w:rPr>
            </w:pPr>
          </w:p>
        </w:tc>
        <w:tc>
          <w:tcPr>
            <w:tcW w:w="7969" w:type="dxa"/>
          </w:tcPr>
          <w:p w:rsidR="004F514B" w:rsidRPr="004F514B" w:rsidRDefault="004F514B" w:rsidP="004F514B">
            <w:pPr>
              <w:shd w:val="clear" w:color="auto" w:fill="FFFFFF"/>
              <w:spacing w:line="276" w:lineRule="auto"/>
              <w:jc w:val="both"/>
            </w:pPr>
            <w:r w:rsidRPr="004F514B">
              <w:lastRenderedPageBreak/>
              <w:t xml:space="preserve">Questa nota di sintesi riguarda il Report sulla regione </w:t>
            </w:r>
            <w:r w:rsidR="00C4027E">
              <w:t xml:space="preserve">Friuli </w:t>
            </w:r>
            <w:r w:rsidR="00665471">
              <w:t>Venezia Giu</w:t>
            </w:r>
            <w:r>
              <w:t>lia</w:t>
            </w:r>
            <w:r w:rsidR="00C4027E">
              <w:t xml:space="preserve"> (FVG)</w:t>
            </w:r>
            <w:r>
              <w:t xml:space="preserve"> </w:t>
            </w:r>
            <w:r w:rsidRPr="004F514B">
              <w:t xml:space="preserve">realizzato nell’ambito del Progetto S.I.S.PR.IN.T. Sistema Integrato di Supporto alla Progettazione degli Interventi Territoriali, finanziato dal PON </w:t>
            </w:r>
            <w:proofErr w:type="spellStart"/>
            <w:r w:rsidRPr="004F514B">
              <w:t>Governance</w:t>
            </w:r>
            <w:proofErr w:type="spellEnd"/>
            <w:r w:rsidRPr="004F514B">
              <w:t xml:space="preserve"> e Capacità istituzionale 2014-2020, di cui </w:t>
            </w:r>
            <w:proofErr w:type="spellStart"/>
            <w:r w:rsidRPr="004F514B">
              <w:t>Unioncamere</w:t>
            </w:r>
            <w:proofErr w:type="spellEnd"/>
            <w:r w:rsidRPr="004F514B">
              <w:t xml:space="preserve"> è il soggetto beneficiario. </w:t>
            </w:r>
          </w:p>
          <w:p w:rsidR="004F514B" w:rsidRPr="004F514B" w:rsidRDefault="004F514B" w:rsidP="004F514B">
            <w:pPr>
              <w:shd w:val="clear" w:color="auto" w:fill="FFFFFF"/>
              <w:spacing w:line="276" w:lineRule="auto"/>
              <w:jc w:val="both"/>
            </w:pPr>
            <w:r w:rsidRPr="004F514B">
              <w:t>Un progetto che nasce per valorizzare, integrare e analizzare dati a supporto delle politiche di sviluppo; ascoltare le esigenze delle imprese e orientare le risposte delle PA; supportare una progettualità qualificata. Le analisi</w:t>
            </w:r>
            <w:r>
              <w:t xml:space="preserve"> </w:t>
            </w:r>
            <w:r w:rsidRPr="004F514B">
              <w:t>si basano primariamente sulla valorizzazione del patrimonio di dati del Registro delle imprese delle Camere di commercio e di altre fonti camerali, opportunamente integrato con informazioni e fonti statistiche di cui dispone l’Agenzia per la Coesione Territoriale.</w:t>
            </w:r>
          </w:p>
          <w:p w:rsidR="00A97E8E" w:rsidRDefault="00A97E8E" w:rsidP="00A97E8E">
            <w:pPr>
              <w:spacing w:line="276" w:lineRule="auto"/>
              <w:jc w:val="both"/>
              <w:rPr>
                <w:rFonts w:cstheme="minorHAnsi"/>
              </w:rPr>
            </w:pPr>
            <w:r>
              <w:t xml:space="preserve">In una visione di insieme, il Friuli Venezia Giulia presenta </w:t>
            </w:r>
            <w:r w:rsidRPr="008B4220">
              <w:rPr>
                <w:b/>
              </w:rPr>
              <w:t>diversi punti di debolezza</w:t>
            </w:r>
            <w:r>
              <w:t xml:space="preserve"> all’interno del proprio contesto socio-economico. Si tratta in particolare dell’</w:t>
            </w:r>
            <w:r w:rsidRPr="008B4220">
              <w:rPr>
                <w:b/>
              </w:rPr>
              <w:t>invecchiamento demografico</w:t>
            </w:r>
            <w:r>
              <w:t>: infatti, con riferimento all’indice di vecchiaia, rispetto alla media Italia posta ugual</w:t>
            </w:r>
            <w:r w:rsidR="00C4027E">
              <w:t>e a 100, il valore del FVG</w:t>
            </w:r>
            <w:r>
              <w:t xml:space="preserve"> è pari a 126,3. Infatti, osservato i valori dei rapporti, l’indice di vecchiaia, dato dal rapporto tra</w:t>
            </w:r>
            <w:r w:rsidRPr="003F64D3">
              <w:t xml:space="preserve"> la popolazione di 65 anni e più e la popolazione di 0-14 anni</w:t>
            </w:r>
            <w:r w:rsidR="00C4027E">
              <w:t xml:space="preserve"> in Friuli </w:t>
            </w:r>
            <w:r>
              <w:t xml:space="preserve">Venezia Giulia è pari </w:t>
            </w:r>
            <w:r w:rsidRPr="00C80AF0">
              <w:rPr>
                <w:rFonts w:cstheme="minorHAnsi"/>
              </w:rPr>
              <w:t xml:space="preserve">a 208,8, </w:t>
            </w:r>
            <w:r>
              <w:rPr>
                <w:rFonts w:cstheme="minorHAnsi"/>
              </w:rPr>
              <w:t>dimostrandosi oltre</w:t>
            </w:r>
            <w:r w:rsidRPr="00C80AF0">
              <w:rPr>
                <w:rFonts w:cstheme="minorHAnsi"/>
              </w:rPr>
              <w:t xml:space="preserve"> 40 punti in più rispetto al dato Italia</w:t>
            </w:r>
            <w:r>
              <w:rPr>
                <w:rFonts w:cstheme="minorHAnsi"/>
              </w:rPr>
              <w:t xml:space="preserve"> del 165,3</w:t>
            </w:r>
            <w:r w:rsidRPr="00C80AF0">
              <w:rPr>
                <w:rFonts w:cstheme="minorHAnsi"/>
              </w:rPr>
              <w:t xml:space="preserve">. </w:t>
            </w:r>
            <w:r>
              <w:rPr>
                <w:rFonts w:cstheme="minorHAnsi"/>
              </w:rPr>
              <w:t xml:space="preserve">Tra le province, l’invecchiamento demografico è maggiormente intenso a </w:t>
            </w:r>
            <w:r w:rsidRPr="00C80AF0">
              <w:rPr>
                <w:rFonts w:cstheme="minorHAnsi"/>
              </w:rPr>
              <w:t>Trieste</w:t>
            </w:r>
            <w:r>
              <w:rPr>
                <w:rFonts w:cstheme="minorHAnsi"/>
              </w:rPr>
              <w:t xml:space="preserve">, dove tale indice tocca quota </w:t>
            </w:r>
            <w:r w:rsidRPr="00C80AF0">
              <w:rPr>
                <w:rFonts w:cstheme="minorHAnsi"/>
              </w:rPr>
              <w:t xml:space="preserve">256,2. </w:t>
            </w:r>
            <w:r>
              <w:rPr>
                <w:rFonts w:cstheme="minorHAnsi"/>
              </w:rPr>
              <w:t>Seguono Gorizia e Udine con valori tra 210 e 220; infine Pordenone, unica provincia della regione con un indice di vecchiaia inferiore a 200, pari a 169,6.</w:t>
            </w:r>
          </w:p>
          <w:p w:rsidR="00A20E43" w:rsidRPr="00A20E43" w:rsidRDefault="00A20E43" w:rsidP="00BE0343">
            <w:pPr>
              <w:spacing w:line="276" w:lineRule="auto"/>
              <w:jc w:val="both"/>
              <w:rPr>
                <w:rFonts w:cstheme="minorHAnsi"/>
              </w:rPr>
            </w:pPr>
            <w:r w:rsidRPr="00A20E43">
              <w:rPr>
                <w:rFonts w:cstheme="minorHAnsi"/>
              </w:rPr>
              <w:t xml:space="preserve">Il </w:t>
            </w:r>
            <w:r w:rsidRPr="00A20E43">
              <w:rPr>
                <w:rFonts w:cstheme="minorHAnsi"/>
                <w:b/>
              </w:rPr>
              <w:t>tasso di natalità</w:t>
            </w:r>
            <w:r w:rsidR="00C4027E">
              <w:rPr>
                <w:rFonts w:cstheme="minorHAnsi"/>
              </w:rPr>
              <w:t xml:space="preserve"> del Friuli </w:t>
            </w:r>
            <w:r w:rsidRPr="00A20E43">
              <w:rPr>
                <w:rFonts w:cstheme="minorHAnsi"/>
              </w:rPr>
              <w:t xml:space="preserve">Venezia Giulia si attesta </w:t>
            </w:r>
            <w:r w:rsidRPr="00A20E43">
              <w:rPr>
                <w:rFonts w:cstheme="minorHAnsi"/>
                <w:b/>
              </w:rPr>
              <w:t>al di sotto della media nazionale</w:t>
            </w:r>
            <w:r w:rsidRPr="00A20E43">
              <w:rPr>
                <w:rFonts w:cstheme="minorHAnsi"/>
              </w:rPr>
              <w:t xml:space="preserve"> e </w:t>
            </w:r>
            <w:proofErr w:type="spellStart"/>
            <w:r w:rsidRPr="00A20E43">
              <w:rPr>
                <w:rFonts w:cstheme="minorHAnsi"/>
              </w:rPr>
              <w:t>ripartizionale</w:t>
            </w:r>
            <w:proofErr w:type="spellEnd"/>
            <w:r w:rsidRPr="00A20E43">
              <w:rPr>
                <w:rFonts w:cstheme="minorHAnsi"/>
              </w:rPr>
              <w:t>. Nel 2016, a fronte di un tasso nazionale pari al 7,8 per mille abitanti quello del Friuli scende al 7,0.</w:t>
            </w:r>
          </w:p>
          <w:p w:rsidR="00A97E8E" w:rsidRDefault="00A20E43" w:rsidP="00B0788D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Considerando il </w:t>
            </w:r>
            <w:r w:rsidRPr="00C80AF0">
              <w:rPr>
                <w:rFonts w:cstheme="minorHAnsi"/>
                <w:b/>
              </w:rPr>
              <w:t xml:space="preserve">tasso di </w:t>
            </w:r>
            <w:r>
              <w:rPr>
                <w:rFonts w:cstheme="minorHAnsi"/>
                <w:b/>
              </w:rPr>
              <w:t>evoluzione</w:t>
            </w:r>
            <w:r w:rsidRPr="00C80AF0">
              <w:rPr>
                <w:rFonts w:cstheme="minorHAnsi"/>
                <w:b/>
              </w:rPr>
              <w:t xml:space="preserve"> totale </w:t>
            </w:r>
            <w:r>
              <w:rPr>
                <w:rFonts w:cstheme="minorHAnsi"/>
                <w:b/>
              </w:rPr>
              <w:t xml:space="preserve">della popolazione </w:t>
            </w:r>
            <w:r w:rsidR="00C4027E">
              <w:rPr>
                <w:rFonts w:cstheme="minorHAnsi"/>
              </w:rPr>
              <w:t xml:space="preserve">in Friuli </w:t>
            </w:r>
            <w:r w:rsidRPr="00A20E43">
              <w:rPr>
                <w:rFonts w:cstheme="minorHAnsi"/>
              </w:rPr>
              <w:t>Venezia Giulia, si evidenzia una</w:t>
            </w:r>
            <w:r>
              <w:rPr>
                <w:rFonts w:cstheme="minorHAnsi"/>
                <w:b/>
              </w:rPr>
              <w:t xml:space="preserve"> flessione </w:t>
            </w:r>
            <w:r w:rsidRPr="00C80AF0">
              <w:rPr>
                <w:rFonts w:cstheme="minorHAnsi"/>
                <w:b/>
              </w:rPr>
              <w:t>nel 2016</w:t>
            </w:r>
            <w:r w:rsidRPr="00A20E43">
              <w:rPr>
                <w:rFonts w:cstheme="minorHAnsi"/>
              </w:rPr>
              <w:t>, pari al -2,7 per mille abitanti,</w:t>
            </w:r>
            <w:r>
              <w:rPr>
                <w:rFonts w:cstheme="minorHAnsi"/>
                <w:b/>
              </w:rPr>
              <w:t xml:space="preserve"> più marcata rispetto a quella registrata in Italia (</w:t>
            </w:r>
            <w:r>
              <w:rPr>
                <w:rFonts w:eastAsia="Times New Roman" w:cstheme="minorHAnsi"/>
                <w:b/>
              </w:rPr>
              <w:t>-1,3</w:t>
            </w:r>
            <w:r w:rsidRPr="00C80AF0">
              <w:rPr>
                <w:rFonts w:eastAsia="Times New Roman" w:cstheme="minorHAnsi"/>
                <w:b/>
              </w:rPr>
              <w:t>).</w:t>
            </w:r>
            <w:r w:rsidRPr="00C80AF0">
              <w:rPr>
                <w:rFonts w:cstheme="minorHAnsi"/>
              </w:rPr>
              <w:t xml:space="preserve"> </w:t>
            </w:r>
          </w:p>
          <w:p w:rsidR="00B0788D" w:rsidRDefault="00B0788D" w:rsidP="00B0788D">
            <w:pPr>
              <w:spacing w:line="276" w:lineRule="auto"/>
              <w:jc w:val="both"/>
              <w:rPr>
                <w:rFonts w:ascii="Calibri" w:hAnsi="Calibri"/>
              </w:rPr>
            </w:pPr>
            <w:r>
              <w:t xml:space="preserve">Si rivela inferiore alla media nazionale anche la </w:t>
            </w:r>
            <w:r w:rsidRPr="008B4220">
              <w:rPr>
                <w:b/>
              </w:rPr>
              <w:t>diffusione imprenditoriale</w:t>
            </w:r>
            <w:r>
              <w:t xml:space="preserve">, calcolata come numero di imprese ogni 100 abitanti, il cui numero indice del </w:t>
            </w:r>
            <w:r w:rsidR="00C4027E">
              <w:t>FVG</w:t>
            </w:r>
            <w:r>
              <w:t xml:space="preserve"> è pari a </w:t>
            </w:r>
            <w:r w:rsidRPr="002C03D5">
              <w:t>85,0 (Italia=100). In termini assoluti, nel 2017 il</w:t>
            </w:r>
            <w:r w:rsidR="00C4027E">
              <w:t xml:space="preserve"> numero delle imprese in Friuli </w:t>
            </w:r>
            <w:r w:rsidRPr="002C03D5">
              <w:t xml:space="preserve">Venezia Giulia è ammontato a  </w:t>
            </w:r>
            <w:r w:rsidRPr="002C03D5">
              <w:rPr>
                <w:rFonts w:ascii="Calibri" w:hAnsi="Calibri"/>
              </w:rPr>
              <w:t>103.301, pari</w:t>
            </w:r>
            <w:r>
              <w:rPr>
                <w:rFonts w:ascii="Calibri" w:hAnsi="Calibri"/>
              </w:rPr>
              <w:t xml:space="preserve"> a 8,52 ogni 100 abitanti. </w:t>
            </w:r>
          </w:p>
          <w:p w:rsidR="00B0788D" w:rsidRDefault="00B0788D" w:rsidP="00B0788D">
            <w:pPr>
              <w:spacing w:line="276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Si rivela importante invece il numero delle </w:t>
            </w:r>
            <w:r>
              <w:rPr>
                <w:rFonts w:ascii="Calibri" w:hAnsi="Calibri"/>
                <w:b/>
              </w:rPr>
              <w:t xml:space="preserve">imprese femminili, </w:t>
            </w:r>
            <w:r w:rsidRPr="00371401">
              <w:rPr>
                <w:rFonts w:ascii="Calibri" w:hAnsi="Calibri"/>
                <w:b/>
              </w:rPr>
              <w:t>23.078</w:t>
            </w:r>
            <w:r w:rsidRPr="00166835">
              <w:rPr>
                <w:rFonts w:ascii="Calibri" w:hAnsi="Calibri"/>
              </w:rPr>
              <w:t>,</w:t>
            </w:r>
            <w:r w:rsidRPr="00371401">
              <w:rPr>
                <w:rFonts w:ascii="Calibri" w:hAnsi="Calibri"/>
                <w:b/>
              </w:rPr>
              <w:t xml:space="preserve"> </w:t>
            </w:r>
            <w:r w:rsidRPr="00166835">
              <w:rPr>
                <w:rFonts w:ascii="Calibri" w:hAnsi="Calibri"/>
              </w:rPr>
              <w:t>pari al</w:t>
            </w:r>
            <w:r w:rsidRPr="00371401">
              <w:rPr>
                <w:rFonts w:ascii="Calibri" w:hAnsi="Calibri"/>
                <w:b/>
              </w:rPr>
              <w:t xml:space="preserve"> 22,3%</w:t>
            </w:r>
            <w:r>
              <w:rPr>
                <w:rFonts w:ascii="Calibri" w:hAnsi="Calibri"/>
                <w:b/>
              </w:rPr>
              <w:t xml:space="preserve"> </w:t>
            </w:r>
            <w:r w:rsidRPr="00166835">
              <w:rPr>
                <w:rFonts w:ascii="Calibri" w:hAnsi="Calibri"/>
              </w:rPr>
              <w:t>del totale regionale</w:t>
            </w:r>
            <w:r w:rsidRPr="00371401">
              <w:rPr>
                <w:rFonts w:ascii="Calibri" w:hAnsi="Calibri"/>
                <w:b/>
              </w:rPr>
              <w:t>:</w:t>
            </w:r>
            <w:r>
              <w:rPr>
                <w:rFonts w:ascii="Calibri" w:hAnsi="Calibri"/>
              </w:rPr>
              <w:t xml:space="preserve"> una quota superiore sia alla media del Nord-Est che a quella nazionale. Pur tuttavia, rispetto al 2014, il numero delle imprese femminili ha segnato una variazione negativa pari a -0,9%: in controtendenza rispetto al Nord-Est e a livello Italia.</w:t>
            </w:r>
          </w:p>
          <w:p w:rsidR="00B0788D" w:rsidRDefault="00B0788D" w:rsidP="00B0788D">
            <w:pPr>
              <w:pStyle w:val="Paragrafoelenco"/>
              <w:spacing w:line="276" w:lineRule="auto"/>
              <w:ind w:left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Dal punto di vista dell’età, invece, la quota di imprese giovanili è  inferiore sia alla media del Nord-Est che a quella nazionale: nella regione le imprese guidate da under 35 </w:t>
            </w:r>
            <w:r w:rsidRPr="00371401">
              <w:rPr>
                <w:rFonts w:ascii="Calibri" w:hAnsi="Calibri"/>
                <w:b/>
              </w:rPr>
              <w:t>corrisponde a 7</w:t>
            </w:r>
            <w:r w:rsidRPr="00166835">
              <w:rPr>
                <w:rFonts w:ascii="Calibri" w:hAnsi="Calibri"/>
                <w:b/>
              </w:rPr>
              <w:t>.581</w:t>
            </w:r>
            <w:r w:rsidRPr="00371401">
              <w:rPr>
                <w:rFonts w:ascii="Calibri" w:hAnsi="Calibri"/>
                <w:b/>
              </w:rPr>
              <w:t>, pari al 7,3%</w:t>
            </w:r>
            <w:r>
              <w:rPr>
                <w:rFonts w:ascii="Calibri" w:hAnsi="Calibri"/>
              </w:rPr>
              <w:t xml:space="preserve">. Oltretutto, rispetto al 2012, il numero delle imprese giovanili ha segnato una variazione negativa pari a -13,0%: meno accentuata della contrazione nel Nord-Est e più marcata rispetto a livello Italia. Infine, secondo la nazionalità, la regione torna sopra i valori della media del Nord-Est e italiana: il numero delle </w:t>
            </w:r>
            <w:r w:rsidRPr="00371401">
              <w:rPr>
                <w:rFonts w:ascii="Calibri" w:hAnsi="Calibri"/>
                <w:b/>
              </w:rPr>
              <w:t xml:space="preserve">imprese straniere corrisponde a </w:t>
            </w:r>
            <w:r w:rsidRPr="00371401">
              <w:rPr>
                <w:rFonts w:ascii="Calibri" w:hAnsi="Calibri"/>
                <w:b/>
                <w:sz w:val="20"/>
                <w:szCs w:val="20"/>
              </w:rPr>
              <w:t>11.870</w:t>
            </w:r>
            <w:r w:rsidRPr="00371401">
              <w:rPr>
                <w:rFonts w:ascii="Calibri" w:hAnsi="Calibri"/>
                <w:b/>
              </w:rPr>
              <w:t>, pari a 11,5%</w:t>
            </w:r>
            <w:r>
              <w:rPr>
                <w:rFonts w:ascii="Calibri" w:hAnsi="Calibri"/>
              </w:rPr>
              <w:t xml:space="preserve">. A ciò si aggiunge anche l’importante considerazione relativa al fatto che rispetto al 2012, il numero delle </w:t>
            </w:r>
            <w:r>
              <w:rPr>
                <w:rFonts w:ascii="Calibri" w:hAnsi="Calibri"/>
              </w:rPr>
              <w:lastRenderedPageBreak/>
              <w:t>imprese straniere ha segnato una variazione positiva pari all’11,0%: meno marcata della variazione del Nord-Est e dell’Italia.</w:t>
            </w:r>
          </w:p>
          <w:p w:rsidR="00B0788D" w:rsidRPr="00A97E8E" w:rsidRDefault="00B0788D" w:rsidP="00B0788D">
            <w:pPr>
              <w:spacing w:line="276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 altro tema per cui il Friuli</w:t>
            </w:r>
            <w:r w:rsidR="00B135BD">
              <w:rPr>
                <w:rFonts w:ascii="Calibri" w:hAnsi="Calibri"/>
              </w:rPr>
              <w:t xml:space="preserve"> Venezia Giulia</w:t>
            </w:r>
            <w:r>
              <w:rPr>
                <w:rFonts w:ascii="Calibri" w:hAnsi="Calibri"/>
              </w:rPr>
              <w:t xml:space="preserve"> mostra </w:t>
            </w:r>
            <w:r w:rsidRPr="008B4220">
              <w:rPr>
                <w:rFonts w:ascii="Calibri" w:hAnsi="Calibri"/>
                <w:b/>
              </w:rPr>
              <w:t>performance inferiori alla media nazionale</w:t>
            </w:r>
            <w:r>
              <w:rPr>
                <w:rFonts w:ascii="Calibri" w:hAnsi="Calibri"/>
              </w:rPr>
              <w:t xml:space="preserve"> è quello della </w:t>
            </w:r>
            <w:r w:rsidRPr="008B4220">
              <w:rPr>
                <w:rFonts w:ascii="Calibri" w:hAnsi="Calibri"/>
                <w:b/>
              </w:rPr>
              <w:t>diffusione delle società di capitali</w:t>
            </w:r>
            <w:r>
              <w:rPr>
                <w:rFonts w:ascii="Calibri" w:hAnsi="Calibri"/>
              </w:rPr>
              <w:t xml:space="preserve">, il cui numero indice (Italia=100) calcolato sulla quota di queste sul totale imprenditoriale è pari a 86,4. I valori assoluti indicano che nella regione sono presenti nel 2017 24.204 società di capitali, di cui quasi la metà, pari a 11.407 nella provincia di Udine. </w:t>
            </w:r>
            <w:r>
              <w:t xml:space="preserve">Comunque, </w:t>
            </w:r>
            <w:r>
              <w:rPr>
                <w:rFonts w:ascii="Calibri" w:hAnsi="Calibri"/>
              </w:rPr>
              <w:t>tra il 2012 e il 2017 le società di capitali sono aumentate del 6,0%.</w:t>
            </w:r>
          </w:p>
        </w:tc>
      </w:tr>
    </w:tbl>
    <w:p w:rsidR="00A97E8E" w:rsidRDefault="00A97E8E" w:rsidP="00A97E8E">
      <w:pPr>
        <w:spacing w:line="240" w:lineRule="auto"/>
        <w:jc w:val="both"/>
      </w:pPr>
    </w:p>
    <w:tbl>
      <w:tblPr>
        <w:tblStyle w:val="Grigliatabella"/>
        <w:tblW w:w="5000" w:type="pct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47B60" w:rsidRPr="0006551D" w:rsidTr="009C3398">
        <w:trPr>
          <w:jc w:val="center"/>
        </w:trPr>
        <w:tc>
          <w:tcPr>
            <w:tcW w:w="5000" w:type="pct"/>
            <w:shd w:val="clear" w:color="auto" w:fill="F2DCDB"/>
          </w:tcPr>
          <w:p w:rsidR="00347B60" w:rsidRPr="00FD7721" w:rsidRDefault="00347B60" w:rsidP="009C3398">
            <w:pPr>
              <w:pStyle w:val="Default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Principali indica</w:t>
            </w:r>
            <w:r w:rsidR="00C4027E">
              <w:rPr>
                <w:rFonts w:asciiTheme="minorHAnsi" w:hAnsiTheme="minorHAnsi"/>
                <w:b/>
                <w:iCs/>
                <w:sz w:val="20"/>
                <w:szCs w:val="20"/>
              </w:rPr>
              <w:t xml:space="preserve">tori socio-economici per Friuli 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Venezia Giulia</w:t>
            </w:r>
            <w:r w:rsidRPr="00FD7721">
              <w:rPr>
                <w:rFonts w:asciiTheme="minorHAnsi" w:hAnsiTheme="minorHAnsi"/>
                <w:b/>
                <w:iCs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 xml:space="preserve">Nord-Est ed </w:t>
            </w:r>
            <w:r w:rsidRPr="00BB5CA4">
              <w:rPr>
                <w:rFonts w:asciiTheme="minorHAnsi" w:hAnsiTheme="minorHAnsi"/>
                <w:b/>
                <w:iCs/>
                <w:sz w:val="20"/>
                <w:szCs w:val="20"/>
              </w:rPr>
              <w:t>Italia</w:t>
            </w:r>
          </w:p>
          <w:p w:rsidR="00347B60" w:rsidRPr="00FD7721" w:rsidRDefault="00347B60" w:rsidP="009C3398">
            <w:pPr>
              <w:pStyle w:val="Default"/>
              <w:jc w:val="both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iCs/>
                <w:sz w:val="20"/>
                <w:szCs w:val="20"/>
              </w:rPr>
              <w:t>Anni 2016-2017</w:t>
            </w:r>
            <w:r w:rsidRPr="00FD7721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/>
                <w:i/>
                <w:iCs/>
                <w:sz w:val="20"/>
                <w:szCs w:val="20"/>
              </w:rPr>
              <w:t>numeri indice Italia=100</w:t>
            </w:r>
            <w:r w:rsidRPr="00FD7721">
              <w:rPr>
                <w:rFonts w:asciiTheme="minorHAnsi" w:hAnsiTheme="minorHAnsi"/>
                <w:i/>
                <w:iCs/>
                <w:sz w:val="20"/>
                <w:szCs w:val="20"/>
              </w:rPr>
              <w:t>)</w:t>
            </w:r>
          </w:p>
        </w:tc>
      </w:tr>
    </w:tbl>
    <w:p w:rsidR="00347B60" w:rsidRDefault="00D36053" w:rsidP="00347B60">
      <w:pPr>
        <w:pStyle w:val="Default"/>
        <w:spacing w:before="40"/>
        <w:jc w:val="center"/>
        <w:rPr>
          <w:rFonts w:asciiTheme="minorHAnsi" w:hAnsiTheme="minorHAnsi"/>
          <w:iCs/>
          <w:sz w:val="22"/>
          <w:szCs w:val="2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299" distR="114299" simplePos="0" relativeHeight="251938816" behindDoc="0" locked="0" layoutInCell="1" allowOverlap="1">
                <wp:simplePos x="0" y="0"/>
                <wp:positionH relativeFrom="column">
                  <wp:posOffset>4324984</wp:posOffset>
                </wp:positionH>
                <wp:positionV relativeFrom="paragraph">
                  <wp:posOffset>288290</wp:posOffset>
                </wp:positionV>
                <wp:extent cx="0" cy="3714750"/>
                <wp:effectExtent l="0" t="0" r="0" b="0"/>
                <wp:wrapNone/>
                <wp:docPr id="25" name="Connettore 2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714750"/>
                        </a:xfrm>
                        <a:prstGeom prst="straightConnector1">
                          <a:avLst/>
                        </a:prstGeom>
                        <a:noFill/>
                        <a:ln w="15875" cap="flat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BEA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5" o:spid="_x0000_s1026" type="#_x0000_t32" style="position:absolute;margin-left:340.55pt;margin-top:22.7pt;width:0;height:292.5pt;z-index:251938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" strokecolor="red" strokeweight="1.25pt">
                <v:stroke dashstyle="dash"/>
                <o:lock v:ext="edit" shapetype="f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4096385</wp:posOffset>
                </wp:positionH>
                <wp:positionV relativeFrom="paragraph">
                  <wp:posOffset>635</wp:posOffset>
                </wp:positionV>
                <wp:extent cx="511175" cy="198120"/>
                <wp:effectExtent l="0" t="0" r="0" b="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117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7B60" w:rsidRPr="00386E40" w:rsidRDefault="00347B60" w:rsidP="00347B60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86E40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ITALIA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26" type="#_x0000_t202" style="position:absolute;left:0;text-align:left;margin-left:322.55pt;margin-top:.05pt;width:40.25pt;height:15.6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" stroked="f">
                <v:path arrowok="t"/>
                <v:textbox>
                  <w:txbxContent>
                    <w:p w:rsidR="00347B60" w:rsidRPr="00386E40" w:rsidRDefault="00347B60" w:rsidP="00347B60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386E40">
                        <w:rPr>
                          <w:b/>
                          <w:color w:val="FF0000"/>
                          <w:sz w:val="16"/>
                          <w:szCs w:val="16"/>
                        </w:rPr>
                        <w:t>ITALIA</w:t>
                      </w:r>
                    </w:p>
                  </w:txbxContent>
                </v:textbox>
              </v:shape>
            </w:pict>
          </mc:Fallback>
        </mc:AlternateContent>
      </w:r>
      <w:r w:rsidR="00347B60" w:rsidRPr="00BC253B">
        <w:rPr>
          <w:noProof/>
          <w:lang w:eastAsia="it-IT"/>
        </w:rPr>
        <w:drawing>
          <wp:inline distT="0" distB="0" distL="0" distR="0" wp14:anchorId="4C8C4270" wp14:editId="3BDDA4FE">
            <wp:extent cx="6120130" cy="4294828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gliatabella"/>
        <w:tblW w:w="5000" w:type="pct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347B60" w:rsidRPr="00BB5CA4" w:rsidTr="00A20E43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347B60" w:rsidRDefault="00347B60" w:rsidP="009C3398">
            <w:pPr>
              <w:rPr>
                <w:rFonts w:eastAsia="Times New Roman" w:cs="Times New Roman"/>
                <w:bCs/>
                <w:i/>
                <w:color w:val="000000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bCs/>
                <w:i/>
                <w:color w:val="000000"/>
                <w:sz w:val="18"/>
                <w:szCs w:val="18"/>
                <w:lang w:eastAsia="it-IT"/>
              </w:rPr>
              <w:t>* Prezzi correnti</w:t>
            </w:r>
          </w:p>
          <w:p w:rsidR="00347B60" w:rsidRPr="00BB5CA4" w:rsidRDefault="00347B60" w:rsidP="009C3398">
            <w:pPr>
              <w:rPr>
                <w:b/>
                <w:color w:val="000000"/>
                <w:sz w:val="18"/>
                <w:szCs w:val="18"/>
              </w:rPr>
            </w:pPr>
            <w:r w:rsidRPr="00BB5CA4">
              <w:rPr>
                <w:rFonts w:eastAsia="Times New Roman" w:cs="Times New Roman"/>
                <w:bCs/>
                <w:i/>
                <w:color w:val="000000"/>
                <w:sz w:val="18"/>
                <w:szCs w:val="18"/>
                <w:lang w:eastAsia="it-IT"/>
              </w:rPr>
              <w:t xml:space="preserve">Fonte: Elaborazioni </w:t>
            </w:r>
            <w:proofErr w:type="spellStart"/>
            <w:r w:rsidRPr="00BB5CA4">
              <w:rPr>
                <w:rFonts w:eastAsia="Times New Roman" w:cs="Times New Roman"/>
                <w:bCs/>
                <w:i/>
                <w:color w:val="000000"/>
                <w:sz w:val="18"/>
                <w:szCs w:val="18"/>
                <w:lang w:eastAsia="it-IT"/>
              </w:rPr>
              <w:t>Si</w:t>
            </w:r>
            <w:r>
              <w:rPr>
                <w:rFonts w:eastAsia="Times New Roman" w:cs="Times New Roman"/>
                <w:bCs/>
                <w:i/>
                <w:color w:val="000000"/>
                <w:sz w:val="18"/>
                <w:szCs w:val="18"/>
                <w:lang w:eastAsia="it-IT"/>
              </w:rPr>
              <w:t>sprint</w:t>
            </w:r>
            <w:proofErr w:type="spellEnd"/>
            <w:r w:rsidRPr="00BB5CA4">
              <w:rPr>
                <w:rFonts w:eastAsia="Times New Roman" w:cs="Times New Roman"/>
                <w:bCs/>
                <w:i/>
                <w:color w:val="000000"/>
                <w:sz w:val="18"/>
                <w:szCs w:val="18"/>
                <w:lang w:eastAsia="it-IT"/>
              </w:rPr>
              <w:t xml:space="preserve"> su dati </w:t>
            </w:r>
            <w:proofErr w:type="spellStart"/>
            <w:r>
              <w:rPr>
                <w:rFonts w:eastAsia="Times New Roman" w:cs="Times New Roman"/>
                <w:bCs/>
                <w:i/>
                <w:color w:val="000000"/>
                <w:sz w:val="18"/>
                <w:szCs w:val="18"/>
                <w:lang w:eastAsia="it-IT"/>
              </w:rPr>
              <w:t>Infocamere</w:t>
            </w:r>
            <w:proofErr w:type="spellEnd"/>
            <w:r>
              <w:rPr>
                <w:rFonts w:eastAsia="Times New Roman" w:cs="Times New Roman"/>
                <w:bCs/>
                <w:i/>
                <w:color w:val="000000"/>
                <w:sz w:val="18"/>
                <w:szCs w:val="18"/>
                <w:lang w:eastAsia="it-IT"/>
              </w:rPr>
              <w:t>, Istat e Banca d’Italia</w:t>
            </w:r>
          </w:p>
        </w:tc>
      </w:tr>
    </w:tbl>
    <w:p w:rsidR="00BE0343" w:rsidRDefault="00BE0343"/>
    <w:tbl>
      <w:tblPr>
        <w:tblStyle w:val="Grigliatabella"/>
        <w:tblW w:w="496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0"/>
        <w:gridCol w:w="7795"/>
      </w:tblGrid>
      <w:tr w:rsidR="00A97E8E" w:rsidTr="00BE0343">
        <w:tc>
          <w:tcPr>
            <w:tcW w:w="925" w:type="pct"/>
          </w:tcPr>
          <w:p w:rsidR="00F223CE" w:rsidRDefault="00F223CE" w:rsidP="00F223CE">
            <w:pPr>
              <w:rPr>
                <w:i/>
              </w:rPr>
            </w:pPr>
          </w:p>
          <w:p w:rsidR="00F223CE" w:rsidRDefault="00F223CE" w:rsidP="00F223CE">
            <w:pPr>
              <w:rPr>
                <w:i/>
              </w:rPr>
            </w:pPr>
          </w:p>
          <w:p w:rsidR="00F223CE" w:rsidRDefault="00F223CE" w:rsidP="00F223CE">
            <w:pPr>
              <w:rPr>
                <w:i/>
              </w:rPr>
            </w:pPr>
            <w:r>
              <w:rPr>
                <w:i/>
              </w:rPr>
              <w:t xml:space="preserve">Numero </w:t>
            </w:r>
            <w:r w:rsidR="00B0788D">
              <w:rPr>
                <w:i/>
              </w:rPr>
              <w:t xml:space="preserve">                     </w:t>
            </w:r>
            <w:r>
              <w:rPr>
                <w:i/>
              </w:rPr>
              <w:t xml:space="preserve">di imprese </w:t>
            </w:r>
            <w:r w:rsidR="00B0788D">
              <w:rPr>
                <w:i/>
              </w:rPr>
              <w:t xml:space="preserve">                </w:t>
            </w:r>
            <w:r>
              <w:rPr>
                <w:i/>
              </w:rPr>
              <w:t>in riduzione</w:t>
            </w:r>
          </w:p>
          <w:p w:rsidR="00EF075F" w:rsidRDefault="00EF075F" w:rsidP="00F223CE">
            <w:pPr>
              <w:rPr>
                <w:i/>
              </w:rPr>
            </w:pPr>
          </w:p>
          <w:p w:rsidR="00EF075F" w:rsidRDefault="00EF075F" w:rsidP="00F223CE">
            <w:pPr>
              <w:rPr>
                <w:i/>
              </w:rPr>
            </w:pPr>
          </w:p>
          <w:p w:rsidR="00EF075F" w:rsidRDefault="00EF075F" w:rsidP="00F223CE">
            <w:pPr>
              <w:rPr>
                <w:i/>
              </w:rPr>
            </w:pPr>
          </w:p>
          <w:p w:rsidR="00EF075F" w:rsidRDefault="00EF075F" w:rsidP="00EF075F">
            <w:pPr>
              <w:rPr>
                <w:i/>
              </w:rPr>
            </w:pPr>
          </w:p>
          <w:p w:rsidR="00EF075F" w:rsidRDefault="00EF075F" w:rsidP="00EF075F">
            <w:pPr>
              <w:rPr>
                <w:i/>
              </w:rPr>
            </w:pPr>
          </w:p>
          <w:p w:rsidR="00EF075F" w:rsidRDefault="00EF075F" w:rsidP="00EF075F">
            <w:pPr>
              <w:rPr>
                <w:i/>
              </w:rPr>
            </w:pPr>
          </w:p>
          <w:p w:rsidR="00EF075F" w:rsidRDefault="00EF075F" w:rsidP="00EF075F">
            <w:pPr>
              <w:rPr>
                <w:i/>
              </w:rPr>
            </w:pPr>
          </w:p>
          <w:p w:rsidR="00EF075F" w:rsidRDefault="00EF075F" w:rsidP="00EF075F">
            <w:pPr>
              <w:rPr>
                <w:i/>
              </w:rPr>
            </w:pPr>
            <w:r>
              <w:rPr>
                <w:i/>
              </w:rPr>
              <w:t>Apertura commerciale</w:t>
            </w:r>
          </w:p>
          <w:p w:rsidR="00EF075F" w:rsidRDefault="00EF075F" w:rsidP="00EF075F">
            <w:pPr>
              <w:rPr>
                <w:i/>
              </w:rPr>
            </w:pPr>
          </w:p>
          <w:p w:rsidR="00EF075F" w:rsidRDefault="00EF075F" w:rsidP="00EF075F">
            <w:pPr>
              <w:rPr>
                <w:i/>
              </w:rPr>
            </w:pPr>
          </w:p>
          <w:p w:rsidR="00EF075F" w:rsidRDefault="00EF075F" w:rsidP="00EF075F">
            <w:pPr>
              <w:rPr>
                <w:i/>
              </w:rPr>
            </w:pPr>
          </w:p>
          <w:p w:rsidR="0042292B" w:rsidRDefault="0042292B" w:rsidP="00EF075F">
            <w:pPr>
              <w:rPr>
                <w:i/>
              </w:rPr>
            </w:pPr>
          </w:p>
          <w:p w:rsidR="0042292B" w:rsidRDefault="0042292B" w:rsidP="00EF075F">
            <w:pPr>
              <w:rPr>
                <w:i/>
              </w:rPr>
            </w:pPr>
          </w:p>
          <w:p w:rsidR="0042292B" w:rsidRDefault="0042292B" w:rsidP="00EF075F">
            <w:pPr>
              <w:rPr>
                <w:i/>
              </w:rPr>
            </w:pPr>
          </w:p>
          <w:p w:rsidR="00EF075F" w:rsidRDefault="00EF075F" w:rsidP="0042292B">
            <w:pPr>
              <w:rPr>
                <w:i/>
              </w:rPr>
            </w:pPr>
            <w:r>
              <w:rPr>
                <w:i/>
              </w:rPr>
              <w:t>Export</w:t>
            </w:r>
            <w:r w:rsidR="0042292B">
              <w:rPr>
                <w:i/>
              </w:rPr>
              <w:t xml:space="preserve"> verso USA e Germania</w:t>
            </w:r>
          </w:p>
          <w:p w:rsidR="00F944C7" w:rsidRDefault="00F944C7" w:rsidP="0042292B">
            <w:pPr>
              <w:rPr>
                <w:i/>
              </w:rPr>
            </w:pPr>
          </w:p>
          <w:p w:rsidR="00F944C7" w:rsidRDefault="00F944C7" w:rsidP="0042292B">
            <w:pPr>
              <w:rPr>
                <w:i/>
              </w:rPr>
            </w:pPr>
          </w:p>
          <w:p w:rsidR="00F944C7" w:rsidRDefault="00F944C7" w:rsidP="0042292B">
            <w:pPr>
              <w:rPr>
                <w:i/>
              </w:rPr>
            </w:pPr>
          </w:p>
          <w:p w:rsidR="00A20E43" w:rsidRDefault="00A20E43" w:rsidP="0042292B">
            <w:pPr>
              <w:rPr>
                <w:i/>
              </w:rPr>
            </w:pPr>
          </w:p>
          <w:p w:rsidR="00746687" w:rsidRDefault="00746687" w:rsidP="0042292B">
            <w:pPr>
              <w:rPr>
                <w:i/>
              </w:rPr>
            </w:pPr>
            <w:r>
              <w:rPr>
                <w:i/>
              </w:rPr>
              <w:t>Pil pro capite sopra la media nazionale</w:t>
            </w:r>
          </w:p>
          <w:p w:rsidR="00746687" w:rsidRDefault="00746687" w:rsidP="0042292B">
            <w:pPr>
              <w:rPr>
                <w:i/>
              </w:rPr>
            </w:pPr>
          </w:p>
          <w:p w:rsidR="00746687" w:rsidRDefault="00746687" w:rsidP="0042292B">
            <w:pPr>
              <w:rPr>
                <w:i/>
              </w:rPr>
            </w:pPr>
          </w:p>
          <w:p w:rsidR="00746687" w:rsidRDefault="00746687" w:rsidP="0042292B">
            <w:pPr>
              <w:rPr>
                <w:i/>
              </w:rPr>
            </w:pPr>
            <w:r>
              <w:rPr>
                <w:i/>
              </w:rPr>
              <w:t>Crescita economica in rallentamento</w:t>
            </w:r>
          </w:p>
          <w:p w:rsidR="00746687" w:rsidRDefault="00746687" w:rsidP="0042292B">
            <w:pPr>
              <w:rPr>
                <w:i/>
              </w:rPr>
            </w:pPr>
          </w:p>
          <w:p w:rsidR="00746687" w:rsidRDefault="00746687" w:rsidP="0042292B">
            <w:pPr>
              <w:rPr>
                <w:i/>
              </w:rPr>
            </w:pPr>
          </w:p>
          <w:p w:rsidR="00746687" w:rsidRDefault="00746687" w:rsidP="0042292B">
            <w:pPr>
              <w:rPr>
                <w:i/>
              </w:rPr>
            </w:pPr>
          </w:p>
          <w:p w:rsidR="009D3053" w:rsidRPr="000353B9" w:rsidRDefault="009D3053" w:rsidP="009D3053">
            <w:pPr>
              <w:rPr>
                <w:i/>
              </w:rPr>
            </w:pPr>
          </w:p>
        </w:tc>
        <w:tc>
          <w:tcPr>
            <w:tcW w:w="4075" w:type="pct"/>
          </w:tcPr>
          <w:p w:rsidR="00166835" w:rsidRDefault="00166835" w:rsidP="00BE0343">
            <w:pPr>
              <w:spacing w:line="276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Osservando la demografia di impresa,</w:t>
            </w:r>
            <w:r w:rsidRPr="007179C9">
              <w:rPr>
                <w:rFonts w:ascii="Calibri" w:hAnsi="Calibri"/>
              </w:rPr>
              <w:t xml:space="preserve"> </w:t>
            </w:r>
            <w:r w:rsidR="00BE0343">
              <w:rPr>
                <w:rFonts w:ascii="Calibri" w:hAnsi="Calibri"/>
              </w:rPr>
              <w:t xml:space="preserve">tra il 2012 e il 2017 </w:t>
            </w:r>
            <w:r>
              <w:rPr>
                <w:rFonts w:ascii="Calibri" w:hAnsi="Calibri"/>
              </w:rPr>
              <w:t>il numero delle imprese nella regione si è ridotto del 5%: una contrazione che si rivela più marcata di quella del Nord-Est, considerando anche che nella media nazionale si è assistito ad una stagnazione. Nella provincia di Pordenone si è assistito alla riduzione più marcata, di circa il 6%, anche se nelle altre province le flessioni hanno oscillato tra il -3,6% di Trieste e il -5,0% di Udine.</w:t>
            </w:r>
          </w:p>
          <w:p w:rsidR="00EF075F" w:rsidRDefault="00EF075F" w:rsidP="00BE0343">
            <w:pPr>
              <w:spacing w:line="276" w:lineRule="auto"/>
              <w:jc w:val="both"/>
            </w:pPr>
            <w:r>
              <w:rPr>
                <w:rFonts w:ascii="Calibri" w:hAnsi="Calibri"/>
              </w:rPr>
              <w:t>Nel campo dell’imprendi</w:t>
            </w:r>
            <w:r w:rsidR="00C4027E">
              <w:rPr>
                <w:rFonts w:ascii="Calibri" w:hAnsi="Calibri"/>
              </w:rPr>
              <w:t xml:space="preserve">torialità innovativa, in Friuli </w:t>
            </w:r>
            <w:r>
              <w:rPr>
                <w:rFonts w:ascii="Calibri" w:hAnsi="Calibri"/>
              </w:rPr>
              <w:t>Venezia Giulia sono presenti 16,40 start-up innovative ogni 100.000 abitanti: un rapporto minore di quello registrato nel Nord-Est e maggiore rispetto alla media Italia.</w:t>
            </w:r>
          </w:p>
          <w:p w:rsidR="00EF075F" w:rsidRDefault="00A97E8E" w:rsidP="00BE0343">
            <w:pPr>
              <w:spacing w:line="276" w:lineRule="auto"/>
              <w:jc w:val="both"/>
              <w:rPr>
                <w:iCs/>
              </w:rPr>
            </w:pPr>
            <w:r>
              <w:lastRenderedPageBreak/>
              <w:t xml:space="preserve">Vero punto di forza della regione è la </w:t>
            </w:r>
            <w:r w:rsidRPr="008B4220">
              <w:rPr>
                <w:b/>
              </w:rPr>
              <w:t>propensione all’export</w:t>
            </w:r>
            <w:r>
              <w:t xml:space="preserve">, il cui numero indice è pari a 150,6 rispetto sempre alla media nazionale posta uguale a 100. Il valore delle esportazioni ha toccato nel 2017 14,8 miliardi di euro, in aumento </w:t>
            </w:r>
            <w:r>
              <w:rPr>
                <w:iCs/>
              </w:rPr>
              <w:t xml:space="preserve">del </w:t>
            </w:r>
            <w:r w:rsidRPr="001047B3">
              <w:rPr>
                <w:iCs/>
              </w:rPr>
              <w:t>2</w:t>
            </w:r>
            <w:r>
              <w:rPr>
                <w:iCs/>
              </w:rPr>
              <w:t>9</w:t>
            </w:r>
            <w:r w:rsidRPr="001047B3">
              <w:rPr>
                <w:iCs/>
              </w:rPr>
              <w:t>,</w:t>
            </w:r>
            <w:r>
              <w:rPr>
                <w:iCs/>
              </w:rPr>
              <w:t>6</w:t>
            </w:r>
            <w:r w:rsidRPr="001047B3">
              <w:rPr>
                <w:iCs/>
              </w:rPr>
              <w:t>% negli ultimi cinque anni</w:t>
            </w:r>
            <w:r>
              <w:rPr>
                <w:iCs/>
              </w:rPr>
              <w:t xml:space="preserve">. </w:t>
            </w:r>
          </w:p>
          <w:p w:rsidR="00EF075F" w:rsidRPr="00EF075F" w:rsidRDefault="00EF075F" w:rsidP="00BE0343">
            <w:pPr>
              <w:spacing w:line="276" w:lineRule="auto"/>
              <w:jc w:val="both"/>
              <w:rPr>
                <w:iCs/>
              </w:rPr>
            </w:pPr>
            <w:r w:rsidRPr="00EF075F">
              <w:rPr>
                <w:iCs/>
              </w:rPr>
              <w:t>Scende un po’ la quota di vendite verso Paesi aderenti all’euro è scesa dal 42,6% al 40,0%, pur in presenza di una accelerazione nell’ultimo anno (dal 39,4% al 40,0%), essenzialmente ascrivibile alla ripresa economica dell’area.</w:t>
            </w:r>
          </w:p>
          <w:p w:rsidR="00EF075F" w:rsidRDefault="0042292B" w:rsidP="00BE0343">
            <w:pPr>
              <w:spacing w:line="276" w:lineRule="auto"/>
              <w:jc w:val="both"/>
              <w:rPr>
                <w:rFonts w:ascii="Calibri" w:hAnsi="Calibri"/>
              </w:rPr>
            </w:pPr>
            <w:r w:rsidRPr="0042292B">
              <w:rPr>
                <w:rFonts w:ascii="Calibri" w:hAnsi="Calibri"/>
              </w:rPr>
              <w:t xml:space="preserve">Gli </w:t>
            </w:r>
            <w:r w:rsidRPr="0042292B">
              <w:rPr>
                <w:rFonts w:ascii="Calibri" w:hAnsi="Calibri"/>
                <w:b/>
              </w:rPr>
              <w:t xml:space="preserve">Stati Uniti </w:t>
            </w:r>
            <w:r w:rsidRPr="0042292B">
              <w:rPr>
                <w:rFonts w:ascii="Calibri" w:hAnsi="Calibri"/>
              </w:rPr>
              <w:t xml:space="preserve">insieme alla </w:t>
            </w:r>
            <w:r w:rsidRPr="0042292B">
              <w:rPr>
                <w:rFonts w:ascii="Calibri" w:hAnsi="Calibri"/>
                <w:b/>
              </w:rPr>
              <w:t xml:space="preserve">Germania </w:t>
            </w:r>
            <w:r w:rsidRPr="0042292B">
              <w:rPr>
                <w:rFonts w:ascii="Calibri" w:hAnsi="Calibri"/>
              </w:rPr>
              <w:t>rappresentano i principali mercati di sbocco delle merci prodotte sul territorio regionale</w:t>
            </w:r>
            <w:r w:rsidRPr="00BA6E5B">
              <w:rPr>
                <w:rFonts w:ascii="Calibri" w:hAnsi="Calibri"/>
              </w:rPr>
              <w:t xml:space="preserve">. I </w:t>
            </w:r>
            <w:r>
              <w:rPr>
                <w:rFonts w:ascii="Calibri" w:hAnsi="Calibri"/>
              </w:rPr>
              <w:t>2</w:t>
            </w:r>
            <w:r w:rsidRPr="00BA6E5B">
              <w:rPr>
                <w:rFonts w:ascii="Calibri" w:hAnsi="Calibri"/>
              </w:rPr>
              <w:t xml:space="preserve"> miliardi di euro esportati</w:t>
            </w:r>
            <w:r>
              <w:rPr>
                <w:rFonts w:ascii="Calibri" w:hAnsi="Calibri"/>
              </w:rPr>
              <w:t xml:space="preserve"> in ciascuno dei due paesi</w:t>
            </w:r>
            <w:r w:rsidRPr="00BA6E5B">
              <w:rPr>
                <w:rFonts w:ascii="Calibri" w:hAnsi="Calibri"/>
              </w:rPr>
              <w:t>, infatti, rappresentano il 13,</w:t>
            </w:r>
            <w:r>
              <w:rPr>
                <w:rFonts w:ascii="Calibri" w:hAnsi="Calibri"/>
              </w:rPr>
              <w:t>6</w:t>
            </w:r>
            <w:r w:rsidRPr="00BA6E5B">
              <w:rPr>
                <w:rFonts w:ascii="Calibri" w:hAnsi="Calibri"/>
              </w:rPr>
              <w:t xml:space="preserve">% delle vendite </w:t>
            </w:r>
            <w:r>
              <w:rPr>
                <w:rFonts w:ascii="Calibri" w:hAnsi="Calibri"/>
              </w:rPr>
              <w:t xml:space="preserve">friulane, arrivando così ad un totale di 4 miliardi complessivi coprendo poco più di </w:t>
            </w:r>
            <w:r w:rsidRPr="0042292B">
              <w:rPr>
                <w:rFonts w:ascii="Calibri" w:hAnsi="Calibri"/>
                <w:b/>
              </w:rPr>
              <w:t>un quarto dell’export regionale</w:t>
            </w:r>
            <w:r>
              <w:rPr>
                <w:rFonts w:ascii="Calibri" w:hAnsi="Calibri"/>
              </w:rPr>
              <w:t xml:space="preserve">: A ciò si aggiunge anche </w:t>
            </w:r>
            <w:r w:rsidRPr="00BA6E5B">
              <w:rPr>
                <w:rFonts w:ascii="Calibri" w:hAnsi="Calibri"/>
              </w:rPr>
              <w:t>l’evoluzione registrata nell’ultimo quinquennio (+1</w:t>
            </w:r>
            <w:r>
              <w:rPr>
                <w:rFonts w:ascii="Calibri" w:hAnsi="Calibri"/>
              </w:rPr>
              <w:t>07,2</w:t>
            </w:r>
            <w:r w:rsidRPr="00BA6E5B">
              <w:rPr>
                <w:rFonts w:ascii="Calibri" w:hAnsi="Calibri"/>
              </w:rPr>
              <w:t>% verso</w:t>
            </w:r>
            <w:r>
              <w:rPr>
                <w:rFonts w:ascii="Calibri" w:hAnsi="Calibri"/>
              </w:rPr>
              <w:t xml:space="preserve"> gli Stati Uniti</w:t>
            </w:r>
            <w:r w:rsidRPr="00BA6E5B">
              <w:rPr>
                <w:rFonts w:ascii="Calibri" w:hAnsi="Calibri"/>
              </w:rPr>
              <w:t xml:space="preserve"> e +1</w:t>
            </w:r>
            <w:r>
              <w:rPr>
                <w:rFonts w:ascii="Calibri" w:hAnsi="Calibri"/>
              </w:rPr>
              <w:t>9</w:t>
            </w:r>
            <w:r w:rsidRPr="00BA6E5B">
              <w:rPr>
                <w:rFonts w:ascii="Calibri" w:hAnsi="Calibri"/>
              </w:rPr>
              <w:t>,2% verso la Germania).</w:t>
            </w:r>
          </w:p>
          <w:p w:rsidR="00746687" w:rsidRDefault="00746687" w:rsidP="00BE0343">
            <w:pPr>
              <w:spacing w:line="276" w:lineRule="auto"/>
              <w:jc w:val="both"/>
            </w:pPr>
            <w:r>
              <w:rPr>
                <w:rFonts w:ascii="Calibri" w:hAnsi="Calibri"/>
              </w:rPr>
              <w:t>Data la sua rilevanza, la domanda estera contribuisce per buona parte alla ricchezza produttiva del te</w:t>
            </w:r>
            <w:r w:rsidR="00B135BD">
              <w:rPr>
                <w:rFonts w:ascii="Calibri" w:hAnsi="Calibri"/>
              </w:rPr>
              <w:t xml:space="preserve">rritorio. Non a caso, il Friuli </w:t>
            </w:r>
            <w:bookmarkStart w:id="0" w:name="_GoBack"/>
            <w:bookmarkEnd w:id="0"/>
            <w:r>
              <w:rPr>
                <w:rFonts w:ascii="Calibri" w:hAnsi="Calibri"/>
              </w:rPr>
              <w:t xml:space="preserve">Venezia Giulia si dimostra un’area piuttosto sviluppata: il </w:t>
            </w:r>
            <w:r w:rsidRPr="008B4220">
              <w:rPr>
                <w:b/>
              </w:rPr>
              <w:t>Pil pro capite</w:t>
            </w:r>
            <w:r>
              <w:t xml:space="preserve"> (in termini nominali) si dimostra superiore alla media nazionale di quasi il 10%, anche se inferiore alla media del Nord-Est. </w:t>
            </w:r>
          </w:p>
          <w:p w:rsidR="00A97E8E" w:rsidRPr="00A97E8E" w:rsidRDefault="00746687" w:rsidP="00BE0343">
            <w:pPr>
              <w:spacing w:line="276" w:lineRule="auto"/>
              <w:jc w:val="both"/>
            </w:pPr>
            <w:r>
              <w:t xml:space="preserve">Dal punto di vista poi del ciclo economico, l’economia della regione, misurata dal Pil a prezzi costanti, ha evidenziato negli ultimi quattro anni andamenti non sempre in linea con quanto riscontrato per l’intero Paese. </w:t>
            </w:r>
            <w:r w:rsidRPr="00746687">
              <w:rPr>
                <w:b/>
              </w:rPr>
              <w:t>Nel 2016 il Pil della regione ha mostrato una dinamica più lenta rispetto alla media nazionale (0,9 contro 1,3%)</w:t>
            </w:r>
            <w:r>
              <w:t>, mentre nel 2015 i rapporti di forza si sono invertiti (2,2 contro 1,0%). Situazione di evidente controtendenza è emersa nel 2013, quando l’economia del Friuli è cresciuta dello 0,7% mentre quella italiana si è contratta dell’1,7%.</w:t>
            </w:r>
          </w:p>
        </w:tc>
      </w:tr>
    </w:tbl>
    <w:p w:rsidR="00BE0343" w:rsidRDefault="00BE0343" w:rsidP="00BE0343">
      <w:pPr>
        <w:jc w:val="both"/>
        <w:rPr>
          <w:rFonts w:ascii="Calibri" w:hAnsi="Calibri"/>
        </w:rPr>
      </w:pPr>
    </w:p>
    <w:tbl>
      <w:tblPr>
        <w:tblStyle w:val="Grigliatabella"/>
        <w:tblW w:w="5000" w:type="pct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E0343" w:rsidRPr="0006551D" w:rsidTr="00764761">
        <w:trPr>
          <w:jc w:val="center"/>
        </w:trPr>
        <w:tc>
          <w:tcPr>
            <w:tcW w:w="5000" w:type="pct"/>
            <w:shd w:val="clear" w:color="auto" w:fill="F2DCDB"/>
          </w:tcPr>
          <w:p w:rsidR="00BE0343" w:rsidRPr="00FD7721" w:rsidRDefault="00BE0343" w:rsidP="00764761">
            <w:pPr>
              <w:pStyle w:val="Default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Andamento del prodotto interno lordo ai prezzi di mercato* in Friuli-Venezia Giulia</w:t>
            </w:r>
            <w:r w:rsidRPr="00FD7721">
              <w:rPr>
                <w:rFonts w:asciiTheme="minorHAnsi" w:hAnsiTheme="minorHAnsi"/>
                <w:b/>
                <w:iCs/>
                <w:sz w:val="20"/>
                <w:szCs w:val="20"/>
              </w:rPr>
              <w:t xml:space="preserve">, </w:t>
            </w:r>
            <w:r w:rsidRPr="00BB5CA4">
              <w:rPr>
                <w:rFonts w:asciiTheme="minorHAnsi" w:hAnsiTheme="minorHAnsi"/>
                <w:b/>
                <w:iCs/>
                <w:sz w:val="20"/>
                <w:szCs w:val="20"/>
              </w:rPr>
              <w:t xml:space="preserve">nel 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 xml:space="preserve">Nord-Est </w:t>
            </w:r>
            <w:r w:rsidRPr="00BB5CA4">
              <w:rPr>
                <w:rFonts w:asciiTheme="minorHAnsi" w:hAnsiTheme="minorHAnsi"/>
                <w:b/>
                <w:iCs/>
                <w:sz w:val="20"/>
                <w:szCs w:val="20"/>
              </w:rPr>
              <w:t>ed in Italia</w:t>
            </w:r>
          </w:p>
          <w:p w:rsidR="00BE0343" w:rsidRPr="00FD7721" w:rsidRDefault="00BE0343" w:rsidP="00764761">
            <w:pPr>
              <w:pStyle w:val="Default"/>
              <w:jc w:val="both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iCs/>
                <w:sz w:val="20"/>
                <w:szCs w:val="20"/>
              </w:rPr>
              <w:t>Anni 2013-2016</w:t>
            </w:r>
            <w:r w:rsidRPr="00FD7721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/>
                <w:i/>
                <w:iCs/>
                <w:sz w:val="20"/>
                <w:szCs w:val="20"/>
              </w:rPr>
              <w:t>variazioni percentuali</w:t>
            </w:r>
            <w:r w:rsidRPr="00FD7721">
              <w:rPr>
                <w:rFonts w:asciiTheme="minorHAnsi" w:hAnsiTheme="minorHAnsi"/>
                <w:i/>
                <w:iCs/>
                <w:sz w:val="20"/>
                <w:szCs w:val="20"/>
              </w:rPr>
              <w:t>)</w:t>
            </w:r>
          </w:p>
        </w:tc>
      </w:tr>
    </w:tbl>
    <w:p w:rsidR="00BE0343" w:rsidRDefault="00BE0343" w:rsidP="00BE0343">
      <w:pPr>
        <w:jc w:val="center"/>
      </w:pPr>
      <w:r w:rsidRPr="00C26386">
        <w:rPr>
          <w:noProof/>
          <w:lang w:eastAsia="it-IT"/>
        </w:rPr>
        <w:drawing>
          <wp:inline distT="0" distB="0" distL="0" distR="0" wp14:anchorId="38917E61" wp14:editId="40AA2B53">
            <wp:extent cx="4665600" cy="2142000"/>
            <wp:effectExtent l="0" t="0" r="190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431"/>
                    <a:stretch/>
                  </pic:blipFill>
                  <pic:spPr bwMode="auto">
                    <a:xfrm>
                      <a:off x="0" y="0"/>
                      <a:ext cx="46656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gliatabella"/>
        <w:tblW w:w="5000" w:type="pct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BE0343" w:rsidRPr="00BB5CA4" w:rsidTr="00764761">
        <w:trPr>
          <w:trHeight w:val="80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BE0343" w:rsidRDefault="00BE0343" w:rsidP="00764761">
            <w:pPr>
              <w:rPr>
                <w:rFonts w:eastAsia="Times New Roman" w:cs="Times New Roman"/>
                <w:bCs/>
                <w:i/>
                <w:color w:val="000000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bCs/>
                <w:i/>
                <w:color w:val="000000"/>
                <w:sz w:val="18"/>
                <w:szCs w:val="18"/>
                <w:lang w:eastAsia="it-IT"/>
              </w:rPr>
              <w:t>* V</w:t>
            </w:r>
            <w:r w:rsidRPr="00B3632F">
              <w:rPr>
                <w:rFonts w:eastAsia="Times New Roman" w:cs="Times New Roman"/>
                <w:bCs/>
                <w:i/>
                <w:color w:val="000000"/>
                <w:sz w:val="18"/>
                <w:szCs w:val="18"/>
                <w:lang w:eastAsia="it-IT"/>
              </w:rPr>
              <w:t>alori concatenati con anno di riferimento 2010</w:t>
            </w:r>
          </w:p>
          <w:p w:rsidR="00BE0343" w:rsidRPr="00BB5CA4" w:rsidRDefault="00BE0343" w:rsidP="00764761">
            <w:pPr>
              <w:rPr>
                <w:b/>
                <w:color w:val="000000"/>
                <w:sz w:val="18"/>
                <w:szCs w:val="18"/>
              </w:rPr>
            </w:pPr>
            <w:r w:rsidRPr="00BB5CA4">
              <w:rPr>
                <w:rFonts w:eastAsia="Times New Roman" w:cs="Times New Roman"/>
                <w:bCs/>
                <w:i/>
                <w:color w:val="000000"/>
                <w:sz w:val="18"/>
                <w:szCs w:val="18"/>
                <w:lang w:eastAsia="it-IT"/>
              </w:rPr>
              <w:t xml:space="preserve">Fonte: Elaborazioni </w:t>
            </w:r>
            <w:proofErr w:type="spellStart"/>
            <w:r w:rsidRPr="00BB5CA4">
              <w:rPr>
                <w:rFonts w:eastAsia="Times New Roman" w:cs="Times New Roman"/>
                <w:bCs/>
                <w:i/>
                <w:color w:val="000000"/>
                <w:sz w:val="18"/>
                <w:szCs w:val="18"/>
                <w:lang w:eastAsia="it-IT"/>
              </w:rPr>
              <w:t>Si</w:t>
            </w:r>
            <w:r>
              <w:rPr>
                <w:rFonts w:eastAsia="Times New Roman" w:cs="Times New Roman"/>
                <w:bCs/>
                <w:i/>
                <w:color w:val="000000"/>
                <w:sz w:val="18"/>
                <w:szCs w:val="18"/>
                <w:lang w:eastAsia="it-IT"/>
              </w:rPr>
              <w:t>sprint</w:t>
            </w:r>
            <w:proofErr w:type="spellEnd"/>
            <w:r w:rsidRPr="00BB5CA4">
              <w:rPr>
                <w:rFonts w:eastAsia="Times New Roman" w:cs="Times New Roman"/>
                <w:bCs/>
                <w:i/>
                <w:color w:val="000000"/>
                <w:sz w:val="18"/>
                <w:szCs w:val="18"/>
                <w:lang w:eastAsia="it-IT"/>
              </w:rPr>
              <w:t xml:space="preserve"> su dati </w:t>
            </w:r>
            <w:r>
              <w:rPr>
                <w:rFonts w:eastAsia="Times New Roman" w:cs="Times New Roman"/>
                <w:bCs/>
                <w:i/>
                <w:color w:val="000000"/>
                <w:sz w:val="18"/>
                <w:szCs w:val="18"/>
                <w:lang w:eastAsia="it-IT"/>
              </w:rPr>
              <w:t>Istat</w:t>
            </w:r>
          </w:p>
        </w:tc>
      </w:tr>
    </w:tbl>
    <w:p w:rsidR="00BE0343" w:rsidRDefault="00BE0343">
      <w:pPr>
        <w:rPr>
          <w:rFonts w:cstheme="minorHAnsi"/>
          <w:iCs/>
        </w:rPr>
      </w:pPr>
    </w:p>
    <w:tbl>
      <w:tblPr>
        <w:tblStyle w:val="Grigliatabella"/>
        <w:tblW w:w="496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0"/>
        <w:gridCol w:w="7795"/>
      </w:tblGrid>
      <w:tr w:rsidR="00BE0343" w:rsidTr="00764761">
        <w:tc>
          <w:tcPr>
            <w:tcW w:w="925" w:type="pct"/>
          </w:tcPr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  <w:r>
              <w:rPr>
                <w:i/>
              </w:rPr>
              <w:t>Bassa disoccupazione</w:t>
            </w: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  <w:r>
              <w:rPr>
                <w:i/>
              </w:rPr>
              <w:t>Tasso di occupazione sopra la media nazionale</w:t>
            </w: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  <w:r>
              <w:rPr>
                <w:i/>
              </w:rPr>
              <w:t>Poche sofferenze, anche se maggiori rispetto al 2012</w:t>
            </w: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</w:p>
          <w:p w:rsidR="00BE0343" w:rsidRDefault="00BE0343" w:rsidP="00764761">
            <w:pPr>
              <w:rPr>
                <w:i/>
              </w:rPr>
            </w:pPr>
          </w:p>
          <w:p w:rsidR="00BE0343" w:rsidRPr="000353B9" w:rsidRDefault="00BE0343" w:rsidP="00764761">
            <w:pPr>
              <w:rPr>
                <w:i/>
              </w:rPr>
            </w:pPr>
            <w:r>
              <w:rPr>
                <w:i/>
              </w:rPr>
              <w:t>Impieghi bancari in flessione</w:t>
            </w:r>
          </w:p>
        </w:tc>
        <w:tc>
          <w:tcPr>
            <w:tcW w:w="4075" w:type="pct"/>
          </w:tcPr>
          <w:p w:rsidR="00BE0343" w:rsidRDefault="00BE0343" w:rsidP="00764761">
            <w:pPr>
              <w:spacing w:line="276" w:lineRule="auto"/>
              <w:jc w:val="both"/>
            </w:pPr>
            <w:r>
              <w:lastRenderedPageBreak/>
              <w:t xml:space="preserve">Altre note positive sono il </w:t>
            </w:r>
            <w:r w:rsidRPr="008B4220">
              <w:rPr>
                <w:b/>
              </w:rPr>
              <w:t>tasso di disoccupazione</w:t>
            </w:r>
            <w:r>
              <w:t xml:space="preserve"> ben al di s</w:t>
            </w:r>
            <w:r w:rsidRPr="00F944C7">
              <w:rPr>
                <w:b/>
              </w:rPr>
              <w:t>otto della media nazionale (6,7contro 11,2%)</w:t>
            </w:r>
            <w:r>
              <w:t xml:space="preserve">. </w:t>
            </w:r>
            <w:r w:rsidRPr="00F944C7">
              <w:rPr>
                <w:iCs/>
              </w:rPr>
              <w:t>In termini assoluti, nel 2017 il numero totale di disoccupa</w:t>
            </w:r>
            <w:r w:rsidR="00C4027E">
              <w:rPr>
                <w:iCs/>
              </w:rPr>
              <w:t xml:space="preserve">ti di 15 anni e oltre in Friuli </w:t>
            </w:r>
            <w:r w:rsidRPr="00F944C7">
              <w:rPr>
                <w:iCs/>
              </w:rPr>
              <w:t xml:space="preserve">Venezia Giulia è stato pari a 36.400 unità, lo 0,4% </w:t>
            </w:r>
            <w:r w:rsidRPr="00F944C7">
              <w:rPr>
                <w:iCs/>
              </w:rPr>
              <w:lastRenderedPageBreak/>
              <w:t>in più rispetto al 2012.</w:t>
            </w:r>
            <w:r w:rsidRPr="00E02D52">
              <w:rPr>
                <w:iCs/>
              </w:rPr>
              <w:t xml:space="preserve"> Si stratta di una variazione </w:t>
            </w:r>
            <w:r>
              <w:rPr>
                <w:iCs/>
              </w:rPr>
              <w:t>in controtendenza rispetto a</w:t>
            </w:r>
            <w:r w:rsidRPr="00E02D52">
              <w:rPr>
                <w:iCs/>
              </w:rPr>
              <w:t xml:space="preserve"> quella rilevata a livello </w:t>
            </w:r>
            <w:proofErr w:type="spellStart"/>
            <w:r w:rsidRPr="00E02D52">
              <w:rPr>
                <w:iCs/>
              </w:rPr>
              <w:t>ripartizionale</w:t>
            </w:r>
            <w:proofErr w:type="spellEnd"/>
            <w:r w:rsidRPr="00E02D52">
              <w:rPr>
                <w:iCs/>
              </w:rPr>
              <w:t xml:space="preserve"> (-</w:t>
            </w:r>
            <w:r>
              <w:rPr>
                <w:iCs/>
              </w:rPr>
              <w:t>2,9</w:t>
            </w:r>
            <w:r w:rsidRPr="00E02D52">
              <w:rPr>
                <w:iCs/>
              </w:rPr>
              <w:t>% nel Nord-</w:t>
            </w:r>
            <w:r>
              <w:rPr>
                <w:iCs/>
              </w:rPr>
              <w:t>E</w:t>
            </w:r>
            <w:r w:rsidRPr="00E02D52">
              <w:rPr>
                <w:iCs/>
              </w:rPr>
              <w:t xml:space="preserve">st), </w:t>
            </w:r>
            <w:r>
              <w:rPr>
                <w:iCs/>
              </w:rPr>
              <w:t xml:space="preserve">e molto meno marcata rispetto all’incremento nazionale </w:t>
            </w:r>
            <w:r w:rsidRPr="00E02D52">
              <w:rPr>
                <w:iCs/>
              </w:rPr>
              <w:t xml:space="preserve">dell’8% (da </w:t>
            </w:r>
            <w:r>
              <w:rPr>
                <w:iCs/>
              </w:rPr>
              <w:t>quasi 2,7 ad oltre 2,9 milioni).</w:t>
            </w:r>
          </w:p>
          <w:p w:rsidR="00BE0343" w:rsidRDefault="00BE0343" w:rsidP="00764761">
            <w:pPr>
              <w:spacing w:line="276" w:lineRule="auto"/>
              <w:jc w:val="both"/>
            </w:pPr>
            <w:r>
              <w:rPr>
                <w:rFonts w:ascii="Calibri" w:hAnsi="Calibri"/>
              </w:rPr>
              <w:t xml:space="preserve">Il </w:t>
            </w:r>
            <w:r w:rsidRPr="00526CD7">
              <w:rPr>
                <w:rFonts w:ascii="Calibri" w:hAnsi="Calibri"/>
              </w:rPr>
              <w:t>tasso di disoccupazione</w:t>
            </w:r>
            <w:r>
              <w:rPr>
                <w:rFonts w:ascii="Calibri" w:hAnsi="Calibri"/>
              </w:rPr>
              <w:t xml:space="preserve"> giovanile, calcolato con riferimento alla </w:t>
            </w:r>
            <w:r w:rsidRPr="00526CD7">
              <w:rPr>
                <w:rFonts w:ascii="Calibri" w:hAnsi="Calibri"/>
              </w:rPr>
              <w:t>popolazione in età 15-29</w:t>
            </w:r>
            <w:r>
              <w:rPr>
                <w:rFonts w:ascii="Calibri" w:hAnsi="Calibri"/>
              </w:rPr>
              <w:t xml:space="preserve"> anni è in riduzione ritornando sui livelli di qualche anno fa:</w:t>
            </w:r>
            <w:r w:rsidRPr="00526CD7">
              <w:rPr>
                <w:rFonts w:ascii="Calibri" w:hAnsi="Calibri"/>
              </w:rPr>
              <w:t xml:space="preserve"> tra il 2012 e il </w:t>
            </w:r>
            <w:r w:rsidRPr="00E25FC4">
              <w:rPr>
                <w:rFonts w:ascii="Calibri" w:hAnsi="Calibri"/>
              </w:rPr>
              <w:t xml:space="preserve">2017 è stato crescente nei primi </w:t>
            </w:r>
            <w:r>
              <w:rPr>
                <w:rFonts w:ascii="Calibri" w:hAnsi="Calibri"/>
              </w:rPr>
              <w:t>3</w:t>
            </w:r>
            <w:r w:rsidRPr="00E25FC4">
              <w:rPr>
                <w:rFonts w:ascii="Calibri" w:hAnsi="Calibri"/>
              </w:rPr>
              <w:t xml:space="preserve"> anni (passando dal </w:t>
            </w:r>
            <w:r>
              <w:rPr>
                <w:rFonts w:ascii="Calibri" w:hAnsi="Calibri"/>
              </w:rPr>
              <w:t>18,1</w:t>
            </w:r>
            <w:r w:rsidRPr="00E25FC4">
              <w:rPr>
                <w:rFonts w:ascii="Calibri" w:hAnsi="Calibri"/>
              </w:rPr>
              <w:t>% al 2</w:t>
            </w:r>
            <w:r>
              <w:rPr>
                <w:rFonts w:ascii="Calibri" w:hAnsi="Calibri"/>
              </w:rPr>
              <w:t>2</w:t>
            </w:r>
            <w:r w:rsidRPr="00E25FC4">
              <w:rPr>
                <w:rFonts w:ascii="Calibri" w:hAnsi="Calibri"/>
              </w:rPr>
              <w:t>,</w:t>
            </w:r>
            <w:r>
              <w:rPr>
                <w:rFonts w:ascii="Calibri" w:hAnsi="Calibri"/>
              </w:rPr>
              <w:t>4</w:t>
            </w:r>
            <w:r w:rsidRPr="00E25FC4">
              <w:rPr>
                <w:rFonts w:ascii="Calibri" w:hAnsi="Calibri"/>
              </w:rPr>
              <w:t xml:space="preserve">%), per poi calare successivamente, attestandosi comunque, nel 2017, ad un livello </w:t>
            </w:r>
            <w:r>
              <w:rPr>
                <w:rFonts w:ascii="Calibri" w:hAnsi="Calibri"/>
              </w:rPr>
              <w:t xml:space="preserve">di poco </w:t>
            </w:r>
            <w:r w:rsidRPr="00E25FC4">
              <w:rPr>
                <w:rFonts w:ascii="Calibri" w:hAnsi="Calibri"/>
              </w:rPr>
              <w:t>superiore rispetto a quello del 2012 (</w:t>
            </w:r>
            <w:r>
              <w:rPr>
                <w:rFonts w:ascii="Calibri" w:hAnsi="Calibri"/>
              </w:rPr>
              <w:t>18,9</w:t>
            </w:r>
            <w:r w:rsidRPr="00E25FC4">
              <w:rPr>
                <w:rFonts w:ascii="Calibri" w:hAnsi="Calibri"/>
              </w:rPr>
              <w:t>%).</w:t>
            </w:r>
          </w:p>
          <w:p w:rsidR="00BE0343" w:rsidRPr="007E3FB4" w:rsidRDefault="00BE0343" w:rsidP="00BE0343">
            <w:pPr>
              <w:spacing w:line="276" w:lineRule="auto"/>
              <w:jc w:val="both"/>
            </w:pPr>
            <w:r w:rsidRPr="004F0923">
              <w:rPr>
                <w:iCs/>
              </w:rPr>
              <w:t xml:space="preserve">Il </w:t>
            </w:r>
            <w:r w:rsidRPr="007E3FB4">
              <w:rPr>
                <w:b/>
                <w:iCs/>
              </w:rPr>
              <w:t xml:space="preserve">tasso </w:t>
            </w:r>
            <w:r>
              <w:rPr>
                <w:b/>
                <w:iCs/>
              </w:rPr>
              <w:t>di occupazione</w:t>
            </w:r>
            <w:r w:rsidRPr="004F0923">
              <w:rPr>
                <w:iCs/>
              </w:rPr>
              <w:t xml:space="preserve"> totale della popolazione in età lavorativa del </w:t>
            </w:r>
            <w:r w:rsidR="00C4027E">
              <w:rPr>
                <w:iCs/>
              </w:rPr>
              <w:t xml:space="preserve">Friuli </w:t>
            </w:r>
            <w:r>
              <w:rPr>
                <w:iCs/>
              </w:rPr>
              <w:t xml:space="preserve">Venezia Giulia si dimostra molto superiore al dato medio Italia: </w:t>
            </w:r>
            <w:r w:rsidRPr="004F0923">
              <w:rPr>
                <w:iCs/>
              </w:rPr>
              <w:t xml:space="preserve">nel 2017, è pari al </w:t>
            </w:r>
            <w:r w:rsidRPr="007E3FB4">
              <w:rPr>
                <w:b/>
                <w:iCs/>
              </w:rPr>
              <w:t>65,7%</w:t>
            </w:r>
            <w:r w:rsidRPr="004F0923">
              <w:rPr>
                <w:iCs/>
              </w:rPr>
              <w:t xml:space="preserve">, </w:t>
            </w:r>
            <w:r>
              <w:rPr>
                <w:iCs/>
              </w:rPr>
              <w:t xml:space="preserve">più di un punto e mezzo </w:t>
            </w:r>
            <w:r w:rsidRPr="004F0923">
              <w:rPr>
                <w:iCs/>
              </w:rPr>
              <w:t>al di sotto del 6</w:t>
            </w:r>
            <w:r>
              <w:rPr>
                <w:iCs/>
              </w:rPr>
              <w:t>7,4</w:t>
            </w:r>
            <w:r w:rsidRPr="004F0923">
              <w:rPr>
                <w:iCs/>
              </w:rPr>
              <w:t>% rilevato nel Nord-</w:t>
            </w:r>
            <w:r>
              <w:rPr>
                <w:iCs/>
              </w:rPr>
              <w:t>Est</w:t>
            </w:r>
            <w:r w:rsidRPr="004F0923">
              <w:rPr>
                <w:iCs/>
              </w:rPr>
              <w:t>, ma significativamente al di sopra del 58,0% nazionale</w:t>
            </w:r>
            <w:r w:rsidRPr="007E3FB4">
              <w:rPr>
                <w:b/>
                <w:iCs/>
              </w:rPr>
              <w:t xml:space="preserve">. </w:t>
            </w:r>
            <w:r w:rsidRPr="007E3FB4">
              <w:rPr>
                <w:iCs/>
              </w:rPr>
              <w:t xml:space="preserve">Nel 2017 il numero totale di </w:t>
            </w:r>
            <w:r w:rsidRPr="007E3FB4">
              <w:rPr>
                <w:b/>
                <w:iCs/>
              </w:rPr>
              <w:t>occupat</w:t>
            </w:r>
            <w:r w:rsidR="00C4027E">
              <w:rPr>
                <w:b/>
                <w:iCs/>
              </w:rPr>
              <w:t xml:space="preserve">i di 15 anni e oltre del Friuli </w:t>
            </w:r>
            <w:r w:rsidRPr="007E3FB4">
              <w:rPr>
                <w:b/>
                <w:iCs/>
              </w:rPr>
              <w:t>Venezia Giulia ammonta a 500 mila unità</w:t>
            </w:r>
            <w:r w:rsidRPr="007E3FB4">
              <w:rPr>
                <w:iCs/>
              </w:rPr>
              <w:t xml:space="preserve">. </w:t>
            </w:r>
          </w:p>
          <w:p w:rsidR="00BE0343" w:rsidRDefault="00BE0343" w:rsidP="00BE0343">
            <w:pPr>
              <w:spacing w:line="276" w:lineRule="auto"/>
              <w:jc w:val="both"/>
            </w:pPr>
            <w:r w:rsidRPr="00496523">
              <w:rPr>
                <w:rFonts w:ascii="Calibri" w:hAnsi="Calibri"/>
              </w:rPr>
              <w:t xml:space="preserve">L’andamento del tasso di </w:t>
            </w:r>
            <w:r>
              <w:rPr>
                <w:rFonts w:ascii="Calibri" w:hAnsi="Calibri"/>
              </w:rPr>
              <w:t>o</w:t>
            </w:r>
            <w:r w:rsidRPr="00496523">
              <w:rPr>
                <w:rFonts w:ascii="Calibri" w:hAnsi="Calibri"/>
              </w:rPr>
              <w:t xml:space="preserve">ccupazione della popolazione regionale in età 15-29 tra il 2012 e il 2017 è stato altalenante, con una flessione nel 2013 (dal </w:t>
            </w:r>
            <w:r>
              <w:rPr>
                <w:rFonts w:ascii="Calibri" w:hAnsi="Calibri"/>
              </w:rPr>
              <w:t>37,0</w:t>
            </w:r>
            <w:r w:rsidRPr="00496523">
              <w:rPr>
                <w:rFonts w:ascii="Calibri" w:hAnsi="Calibri"/>
              </w:rPr>
              <w:t>% al 34,</w:t>
            </w:r>
            <w:r>
              <w:rPr>
                <w:rFonts w:ascii="Calibri" w:hAnsi="Calibri"/>
              </w:rPr>
              <w:t>2</w:t>
            </w:r>
            <w:r w:rsidRPr="00496523">
              <w:rPr>
                <w:rFonts w:ascii="Calibri" w:hAnsi="Calibri"/>
              </w:rPr>
              <w:t>%), seguita da una serie diminuzioni di lieve entità</w:t>
            </w:r>
            <w:r>
              <w:rPr>
                <w:rFonts w:ascii="Calibri" w:hAnsi="Calibri"/>
              </w:rPr>
              <w:t xml:space="preserve"> e di aumenti</w:t>
            </w:r>
            <w:r w:rsidRPr="00496523">
              <w:rPr>
                <w:rFonts w:ascii="Calibri" w:hAnsi="Calibri"/>
              </w:rPr>
              <w:t xml:space="preserve">, che hanno portato ad un livello inferiore rispetto </w:t>
            </w:r>
            <w:r w:rsidRPr="00A010B8">
              <w:rPr>
                <w:rFonts w:ascii="Calibri" w:hAnsi="Calibri"/>
              </w:rPr>
              <w:t>a quello del 2012 (il 35,</w:t>
            </w:r>
            <w:r>
              <w:rPr>
                <w:rFonts w:ascii="Calibri" w:hAnsi="Calibri"/>
              </w:rPr>
              <w:t>8</w:t>
            </w:r>
            <w:r w:rsidRPr="00A010B8">
              <w:rPr>
                <w:rFonts w:ascii="Calibri" w:hAnsi="Calibri"/>
              </w:rPr>
              <w:t>% del 2017, quota comunque</w:t>
            </w:r>
            <w:r>
              <w:rPr>
                <w:rFonts w:ascii="Calibri" w:hAnsi="Calibri"/>
              </w:rPr>
              <w:t xml:space="preserve"> lievemente</w:t>
            </w:r>
            <w:r w:rsidRPr="00A010B8">
              <w:rPr>
                <w:rFonts w:ascii="Calibri" w:hAnsi="Calibri"/>
              </w:rPr>
              <w:t xml:space="preserve"> superiore al 3</w:t>
            </w:r>
            <w:r>
              <w:rPr>
                <w:rFonts w:ascii="Calibri" w:hAnsi="Calibri"/>
              </w:rPr>
              <w:t>5</w:t>
            </w:r>
            <w:r w:rsidRPr="00A010B8">
              <w:rPr>
                <w:rFonts w:ascii="Calibri" w:hAnsi="Calibri"/>
              </w:rPr>
              <w:t>,2% del 2016).</w:t>
            </w:r>
          </w:p>
          <w:p w:rsidR="00BE0343" w:rsidRDefault="00BE0343" w:rsidP="00BE0343">
            <w:pPr>
              <w:pStyle w:val="Default"/>
              <w:spacing w:line="276" w:lineRule="auto"/>
              <w:jc w:val="both"/>
              <w:rPr>
                <w:rFonts w:cstheme="minorBidi"/>
                <w:color w:val="auto"/>
                <w:sz w:val="22"/>
                <w:szCs w:val="22"/>
              </w:rPr>
            </w:pPr>
            <w:r w:rsidRPr="009D3053">
              <w:rPr>
                <w:rFonts w:cstheme="minorBidi"/>
                <w:color w:val="auto"/>
                <w:sz w:val="22"/>
                <w:szCs w:val="22"/>
              </w:rPr>
              <w:t xml:space="preserve">Un aspetto positivo della regione è la </w:t>
            </w:r>
            <w:r>
              <w:rPr>
                <w:rFonts w:cstheme="minorBidi"/>
                <w:color w:val="auto"/>
                <w:sz w:val="22"/>
                <w:szCs w:val="22"/>
              </w:rPr>
              <w:t xml:space="preserve">no elevata pressione delle </w:t>
            </w:r>
            <w:r w:rsidRPr="009D3053">
              <w:rPr>
                <w:rFonts w:cstheme="minorBidi"/>
                <w:color w:val="auto"/>
                <w:sz w:val="22"/>
                <w:szCs w:val="22"/>
              </w:rPr>
              <w:t xml:space="preserve">sofferenze bancarie: </w:t>
            </w:r>
            <w:r>
              <w:rPr>
                <w:rFonts w:cstheme="minorBidi"/>
                <w:color w:val="auto"/>
                <w:sz w:val="22"/>
                <w:szCs w:val="22"/>
              </w:rPr>
              <w:t xml:space="preserve">nel 2017 il </w:t>
            </w:r>
            <w:r w:rsidRPr="009D3053">
              <w:rPr>
                <w:rFonts w:cstheme="minorBidi"/>
                <w:color w:val="auto"/>
                <w:sz w:val="22"/>
                <w:szCs w:val="22"/>
              </w:rPr>
              <w:t>rapporto</w:t>
            </w:r>
            <w:r>
              <w:rPr>
                <w:rFonts w:cstheme="minorBidi"/>
                <w:color w:val="auto"/>
                <w:sz w:val="22"/>
                <w:szCs w:val="22"/>
              </w:rPr>
              <w:t xml:space="preserve"> percentuale</w:t>
            </w:r>
            <w:r w:rsidRPr="009D3053">
              <w:rPr>
                <w:rFonts w:cstheme="minorBidi"/>
                <w:color w:val="auto"/>
                <w:sz w:val="22"/>
                <w:szCs w:val="22"/>
              </w:rPr>
              <w:t xml:space="preserve"> tra le sofferenze bancarie e gli impieghi</w:t>
            </w:r>
            <w:r>
              <w:rPr>
                <w:rFonts w:cstheme="minorBidi"/>
                <w:color w:val="auto"/>
                <w:sz w:val="22"/>
                <w:szCs w:val="22"/>
              </w:rPr>
              <w:t xml:space="preserve"> si è attestato a 13,9, contro valori che salgono a 14,2 per il Nord-Est e a 16,2 per l’intero Paese.</w:t>
            </w:r>
          </w:p>
          <w:p w:rsidR="00BE0343" w:rsidRDefault="00BE0343" w:rsidP="00BE0343">
            <w:pPr>
              <w:pStyle w:val="Default"/>
              <w:spacing w:line="276" w:lineRule="auto"/>
              <w:jc w:val="both"/>
              <w:rPr>
                <w:rFonts w:asciiTheme="minorHAnsi" w:hAnsiTheme="minorHAnsi"/>
                <w:iCs/>
                <w:sz w:val="22"/>
                <w:szCs w:val="22"/>
              </w:rPr>
            </w:pPr>
            <w:r>
              <w:rPr>
                <w:rFonts w:cstheme="minorBidi"/>
                <w:color w:val="auto"/>
                <w:sz w:val="22"/>
                <w:szCs w:val="22"/>
              </w:rPr>
              <w:t>Pur tuttavia, negli ultimi cinque anni,</w:t>
            </w:r>
            <w:r>
              <w:rPr>
                <w:rFonts w:asciiTheme="minorHAnsi" w:hAnsiTheme="minorHAnsi"/>
                <w:iCs/>
                <w:sz w:val="22"/>
                <w:szCs w:val="22"/>
              </w:rPr>
              <w:t xml:space="preserve"> t</w:t>
            </w:r>
            <w:r w:rsidRPr="005C3823">
              <w:rPr>
                <w:rFonts w:asciiTheme="minorHAnsi" w:hAnsiTheme="minorHAnsi"/>
                <w:iCs/>
                <w:sz w:val="22"/>
                <w:szCs w:val="22"/>
              </w:rPr>
              <w:t>ra il 2012 ed il 2016, il fenomeno delle sofferenze bancarie delle imprese ha mostrato una accelerazione notevole</w:t>
            </w:r>
            <w:r>
              <w:rPr>
                <w:rFonts w:asciiTheme="minorHAnsi" w:hAnsiTheme="minorHAnsi"/>
                <w:iCs/>
                <w:sz w:val="22"/>
                <w:szCs w:val="22"/>
              </w:rPr>
              <w:t xml:space="preserve"> crescendo di circa</w:t>
            </w:r>
            <w:r w:rsidRPr="005C3823">
              <w:rPr>
                <w:rFonts w:asciiTheme="minorHAnsi" w:hAnsiTheme="minorHAnsi"/>
                <w:i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iCs/>
                <w:sz w:val="22"/>
                <w:szCs w:val="22"/>
              </w:rPr>
              <w:t xml:space="preserve">10 punti percentuali fino a toccare il valore di 19,2, per poi calare a 13,9 nel 2017. </w:t>
            </w:r>
          </w:p>
          <w:p w:rsidR="00BE0343" w:rsidRPr="00B0788D" w:rsidRDefault="00BE0343" w:rsidP="00764761">
            <w:pPr>
              <w:pStyle w:val="Default"/>
              <w:spacing w:line="276" w:lineRule="auto"/>
              <w:jc w:val="both"/>
              <w:rPr>
                <w:rFonts w:cstheme="minorBidi"/>
                <w:color w:val="auto"/>
                <w:sz w:val="22"/>
                <w:szCs w:val="22"/>
              </w:rPr>
            </w:pPr>
            <w:r w:rsidRPr="00746687">
              <w:rPr>
                <w:sz w:val="22"/>
                <w:szCs w:val="22"/>
              </w:rPr>
              <w:t>Nel campo delle relazioni tra banche ed imprese un indicatore molto importante è quello degli impieghi</w:t>
            </w:r>
            <w:r w:rsidR="00C4027E">
              <w:rPr>
                <w:b/>
                <w:sz w:val="22"/>
                <w:szCs w:val="22"/>
              </w:rPr>
              <w:t xml:space="preserve">. In Friuli </w:t>
            </w:r>
            <w:r w:rsidRPr="00746687">
              <w:rPr>
                <w:b/>
                <w:sz w:val="22"/>
                <w:szCs w:val="22"/>
              </w:rPr>
              <w:t>Venezia Giulia, nel giro di cinque anni, essi sono diminuiti del 20,1%</w:t>
            </w:r>
            <w:r w:rsidRPr="00746687">
              <w:rPr>
                <w:sz w:val="22"/>
                <w:szCs w:val="22"/>
              </w:rPr>
              <w:t>, evidenziando una tendenza sostanzialmente in linea alla media nazionale</w:t>
            </w:r>
            <w:r w:rsidRPr="00746687">
              <w:rPr>
                <w:b/>
                <w:sz w:val="22"/>
                <w:szCs w:val="22"/>
              </w:rPr>
              <w:t xml:space="preserve"> </w:t>
            </w:r>
            <w:r w:rsidRPr="00746687">
              <w:rPr>
                <w:sz w:val="22"/>
                <w:szCs w:val="22"/>
              </w:rPr>
              <w:t>(-21,4%).</w:t>
            </w:r>
          </w:p>
        </w:tc>
      </w:tr>
    </w:tbl>
    <w:p w:rsidR="00BE0343" w:rsidRDefault="00BE0343">
      <w:pPr>
        <w:rPr>
          <w:rFonts w:cstheme="minorHAnsi"/>
          <w:iCs/>
        </w:rPr>
      </w:pPr>
    </w:p>
    <w:p w:rsidR="003A35F2" w:rsidRDefault="003A35F2" w:rsidP="003A35F2">
      <w:pPr>
        <w:rPr>
          <w:rFonts w:ascii="Berlin Sans FB" w:hAnsi="Berlin Sans FB"/>
          <w:color w:val="404040"/>
        </w:rPr>
      </w:pPr>
      <w:r>
        <w:rPr>
          <w:rFonts w:ascii="Berlin Sans FB" w:hAnsi="Berlin Sans FB"/>
          <w:color w:val="404040"/>
        </w:rPr>
        <w:br w:type="page"/>
      </w:r>
    </w:p>
    <w:p w:rsidR="003A35F2" w:rsidRDefault="003A35F2" w:rsidP="003A35F2">
      <w:pPr>
        <w:rPr>
          <w:rFonts w:ascii="Calibri" w:hAnsi="Calibri"/>
          <w:noProof/>
          <w:lang w:eastAsia="it-IT"/>
        </w:rPr>
      </w:pPr>
      <w:r>
        <w:rPr>
          <w:rFonts w:ascii="Calibri" w:hAnsi="Calibri"/>
          <w:noProof/>
          <w:lang w:eastAsia="it-IT"/>
        </w:rPr>
        <w:lastRenderedPageBreak/>
        <w:drawing>
          <wp:inline distT="0" distB="0" distL="0" distR="0">
            <wp:extent cx="6120130" cy="865251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ULIVENEZIAGIUL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A6" w:rsidRDefault="007758A6">
      <w:pPr>
        <w:rPr>
          <w:rFonts w:ascii="Calibri" w:hAnsi="Calibri"/>
          <w:noProof/>
          <w:lang w:eastAsia="it-IT"/>
        </w:rPr>
      </w:pPr>
      <w:r>
        <w:rPr>
          <w:rFonts w:ascii="Calibri" w:hAnsi="Calibri"/>
          <w:noProof/>
          <w:lang w:eastAsia="it-IT"/>
        </w:rPr>
        <w:lastRenderedPageBreak/>
        <w:drawing>
          <wp:inline distT="0" distB="0" distL="0" distR="0">
            <wp:extent cx="6120130" cy="865251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reseFRIULIVENEZIAGIUL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7E" w:rsidRDefault="004E7BC0" w:rsidP="0010017E">
      <w:pPr>
        <w:rPr>
          <w:rFonts w:ascii="Calibri" w:hAnsi="Calibri"/>
          <w:noProof/>
          <w:lang w:eastAsia="it-IT"/>
        </w:rPr>
      </w:pPr>
      <w:r>
        <w:rPr>
          <w:rFonts w:ascii="Calibri" w:hAnsi="Calibri"/>
          <w:noProof/>
          <w:lang w:eastAsia="it-IT"/>
        </w:rPr>
        <w:lastRenderedPageBreak/>
        <w:drawing>
          <wp:inline distT="0" distB="0" distL="0" distR="0">
            <wp:extent cx="6120130" cy="865251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A6" w:rsidRDefault="007758A6">
      <w:pPr>
        <w:rPr>
          <w:rFonts w:ascii="Calibri" w:hAnsi="Calibri"/>
          <w:noProof/>
          <w:lang w:eastAsia="it-IT"/>
        </w:rPr>
      </w:pPr>
      <w:r>
        <w:rPr>
          <w:rFonts w:ascii="Calibri" w:hAnsi="Calibri"/>
          <w:noProof/>
          <w:lang w:eastAsia="it-IT"/>
        </w:rPr>
        <w:lastRenderedPageBreak/>
        <w:drawing>
          <wp:inline distT="0" distB="0" distL="0" distR="0">
            <wp:extent cx="6120130" cy="865251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cupazione_FriuliV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328" w:rsidRDefault="00F50328" w:rsidP="00D15043">
      <w:pPr>
        <w:rPr>
          <w:rFonts w:ascii="Calibri" w:hAnsi="Calibri"/>
          <w:noProof/>
          <w:lang w:eastAsia="it-IT"/>
        </w:rPr>
      </w:pPr>
      <w:r>
        <w:rPr>
          <w:rFonts w:ascii="Calibri" w:hAnsi="Calibri"/>
          <w:noProof/>
          <w:lang w:eastAsia="it-IT"/>
        </w:rPr>
        <w:lastRenderedPageBreak/>
        <w:drawing>
          <wp:inline distT="0" distB="0" distL="0" distR="0">
            <wp:extent cx="6120130" cy="865251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43" w:rsidRDefault="007758A6" w:rsidP="00D15043">
      <w:pPr>
        <w:rPr>
          <w:rFonts w:ascii="Calibri" w:hAnsi="Calibri"/>
          <w:noProof/>
          <w:lang w:eastAsia="it-IT"/>
        </w:rPr>
      </w:pPr>
      <w:r>
        <w:rPr>
          <w:rFonts w:ascii="Calibri" w:hAnsi="Calibri"/>
          <w:noProof/>
          <w:lang w:eastAsia="it-IT"/>
        </w:rPr>
        <w:lastRenderedPageBreak/>
        <w:drawing>
          <wp:inline distT="0" distB="0" distL="0" distR="0">
            <wp:extent cx="6120130" cy="8652510"/>
            <wp:effectExtent l="0" t="0" r="0" b="0"/>
            <wp:docPr id="528" name="Immagin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DITO_FV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043" w:rsidSect="00A97E8E">
      <w:headerReference w:type="default" r:id="rId18"/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D1B" w:rsidRDefault="00630D1B" w:rsidP="0055699E">
      <w:pPr>
        <w:spacing w:after="0" w:line="240" w:lineRule="auto"/>
      </w:pPr>
      <w:r>
        <w:separator/>
      </w:r>
    </w:p>
  </w:endnote>
  <w:endnote w:type="continuationSeparator" w:id="0">
    <w:p w:rsidR="00630D1B" w:rsidRDefault="00630D1B" w:rsidP="00556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haroni">
    <w:panose1 w:val="020B0604020202020204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">
    <w:altName w:val="Times New Roman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23570116"/>
      <w:docPartObj>
        <w:docPartGallery w:val="Page Numbers (Bottom of Page)"/>
        <w:docPartUnique/>
      </w:docPartObj>
    </w:sdtPr>
    <w:sdtEndPr>
      <w:rPr>
        <w:b/>
        <w:color w:val="943634" w:themeColor="accent2" w:themeShade="BF"/>
      </w:rPr>
    </w:sdtEndPr>
    <w:sdtContent>
      <w:p w:rsidR="00A97E8E" w:rsidRPr="00A97E8E" w:rsidRDefault="00A97E8E">
        <w:pPr>
          <w:pStyle w:val="Pidipagina"/>
          <w:jc w:val="right"/>
          <w:rPr>
            <w:b/>
            <w:color w:val="943634" w:themeColor="accent2" w:themeShade="BF"/>
          </w:rPr>
        </w:pPr>
        <w:r w:rsidRPr="00A97E8E">
          <w:rPr>
            <w:b/>
            <w:color w:val="943634" w:themeColor="accent2" w:themeShade="BF"/>
          </w:rPr>
          <w:fldChar w:fldCharType="begin"/>
        </w:r>
        <w:r w:rsidRPr="00A97E8E">
          <w:rPr>
            <w:b/>
            <w:color w:val="943634" w:themeColor="accent2" w:themeShade="BF"/>
          </w:rPr>
          <w:instrText>PAGE   \* MERGEFORMAT</w:instrText>
        </w:r>
        <w:r w:rsidRPr="00A97E8E">
          <w:rPr>
            <w:b/>
            <w:color w:val="943634" w:themeColor="accent2" w:themeShade="BF"/>
          </w:rPr>
          <w:fldChar w:fldCharType="separate"/>
        </w:r>
        <w:r w:rsidR="00B75F0C">
          <w:rPr>
            <w:b/>
            <w:noProof/>
            <w:color w:val="943634" w:themeColor="accent2" w:themeShade="BF"/>
          </w:rPr>
          <w:t>12</w:t>
        </w:r>
        <w:r w:rsidRPr="00A97E8E">
          <w:rPr>
            <w:b/>
            <w:color w:val="943634" w:themeColor="accent2" w:themeShade="BF"/>
          </w:rPr>
          <w:fldChar w:fldCharType="end"/>
        </w:r>
      </w:p>
    </w:sdtContent>
  </w:sdt>
  <w:p w:rsidR="003F64D3" w:rsidRDefault="003F64D3" w:rsidP="00FB0F3B">
    <w:pPr>
      <w:pStyle w:val="Pidipagina"/>
      <w:tabs>
        <w:tab w:val="clear" w:pos="4819"/>
        <w:tab w:val="clear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D1B" w:rsidRDefault="00630D1B" w:rsidP="0055699E">
      <w:pPr>
        <w:spacing w:after="0" w:line="240" w:lineRule="auto"/>
      </w:pPr>
      <w:r>
        <w:separator/>
      </w:r>
    </w:p>
  </w:footnote>
  <w:footnote w:type="continuationSeparator" w:id="0">
    <w:p w:rsidR="00630D1B" w:rsidRDefault="00630D1B" w:rsidP="00556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64D3" w:rsidRDefault="003F64D3" w:rsidP="0052019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64995"/>
    <w:multiLevelType w:val="hybridMultilevel"/>
    <w:tmpl w:val="1D1651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B08B1"/>
    <w:multiLevelType w:val="hybridMultilevel"/>
    <w:tmpl w:val="004836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363CBA"/>
    <w:multiLevelType w:val="hybridMultilevel"/>
    <w:tmpl w:val="BD724A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E5FC9"/>
    <w:multiLevelType w:val="hybridMultilevel"/>
    <w:tmpl w:val="24B831F0"/>
    <w:lvl w:ilvl="0" w:tplc="2A264980">
      <w:start w:val="1"/>
      <w:numFmt w:val="decimal"/>
      <w:lvlText w:val="%1."/>
      <w:lvlJc w:val="left"/>
      <w:pPr>
        <w:ind w:left="795" w:hanging="435"/>
      </w:pPr>
      <w:rPr>
        <w:rFonts w:ascii="Calibri" w:hAnsi="Calibri" w:cs="Aharoni" w:hint="default"/>
        <w:color w:val="548DD4"/>
        <w:sz w:val="56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FD2037"/>
    <w:multiLevelType w:val="hybridMultilevel"/>
    <w:tmpl w:val="C31A4358"/>
    <w:lvl w:ilvl="0" w:tplc="141CDDB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75DA2"/>
    <w:multiLevelType w:val="hybridMultilevel"/>
    <w:tmpl w:val="34449F0C"/>
    <w:lvl w:ilvl="0" w:tplc="FED4C0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6531A"/>
    <w:multiLevelType w:val="hybridMultilevel"/>
    <w:tmpl w:val="C78845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31324C"/>
    <w:multiLevelType w:val="hybridMultilevel"/>
    <w:tmpl w:val="809C86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E47C83"/>
    <w:multiLevelType w:val="hybridMultilevel"/>
    <w:tmpl w:val="56509F6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3366BC"/>
    <w:multiLevelType w:val="hybridMultilevel"/>
    <w:tmpl w:val="3174768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6D430255"/>
    <w:multiLevelType w:val="hybridMultilevel"/>
    <w:tmpl w:val="30720F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5463ED"/>
    <w:multiLevelType w:val="hybridMultilevel"/>
    <w:tmpl w:val="85B02B5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4C86240"/>
    <w:multiLevelType w:val="hybridMultilevel"/>
    <w:tmpl w:val="0E2AD30E"/>
    <w:lvl w:ilvl="0" w:tplc="30EE89BA">
      <w:numFmt w:val="bullet"/>
      <w:lvlText w:val="-"/>
      <w:lvlJc w:val="left"/>
      <w:pPr>
        <w:ind w:left="360" w:hanging="360"/>
      </w:pPr>
      <w:rPr>
        <w:rFonts w:ascii="ArialNarrow" w:eastAsia="Times New Roman" w:hAnsi="ArialNarro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B85950"/>
    <w:multiLevelType w:val="hybridMultilevel"/>
    <w:tmpl w:val="3F6EC65C"/>
    <w:lvl w:ilvl="0" w:tplc="7C044974">
      <w:numFmt w:val="bullet"/>
      <w:lvlText w:val="•"/>
      <w:lvlJc w:val="left"/>
      <w:pPr>
        <w:ind w:left="786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76795B5B"/>
    <w:multiLevelType w:val="hybridMultilevel"/>
    <w:tmpl w:val="13C496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401B83"/>
    <w:multiLevelType w:val="hybridMultilevel"/>
    <w:tmpl w:val="571055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14"/>
  </w:num>
  <w:num w:numId="6">
    <w:abstractNumId w:val="3"/>
  </w:num>
  <w:num w:numId="7">
    <w:abstractNumId w:val="1"/>
  </w:num>
  <w:num w:numId="8">
    <w:abstractNumId w:val="4"/>
  </w:num>
  <w:num w:numId="9">
    <w:abstractNumId w:val="8"/>
  </w:num>
  <w:num w:numId="10">
    <w:abstractNumId w:val="0"/>
  </w:num>
  <w:num w:numId="11">
    <w:abstractNumId w:val="2"/>
  </w:num>
  <w:num w:numId="12">
    <w:abstractNumId w:val="11"/>
  </w:num>
  <w:num w:numId="13">
    <w:abstractNumId w:val="10"/>
  </w:num>
  <w:num w:numId="14">
    <w:abstractNumId w:val="15"/>
  </w:num>
  <w:num w:numId="15">
    <w:abstractNumId w:val="7"/>
  </w:num>
  <w:num w:numId="16">
    <w:abstractNumId w:val="9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hideGrammaticalErrors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99E"/>
    <w:rsid w:val="00003CA9"/>
    <w:rsid w:val="000043F1"/>
    <w:rsid w:val="00004DE2"/>
    <w:rsid w:val="000054AD"/>
    <w:rsid w:val="000069C5"/>
    <w:rsid w:val="00006B4D"/>
    <w:rsid w:val="000116BE"/>
    <w:rsid w:val="000121A5"/>
    <w:rsid w:val="00026795"/>
    <w:rsid w:val="00031014"/>
    <w:rsid w:val="00031950"/>
    <w:rsid w:val="000324B3"/>
    <w:rsid w:val="000349E4"/>
    <w:rsid w:val="00034C47"/>
    <w:rsid w:val="00036821"/>
    <w:rsid w:val="00036C41"/>
    <w:rsid w:val="000408F9"/>
    <w:rsid w:val="000409D1"/>
    <w:rsid w:val="00041D13"/>
    <w:rsid w:val="00043E7A"/>
    <w:rsid w:val="00045F73"/>
    <w:rsid w:val="00051E6A"/>
    <w:rsid w:val="0005484B"/>
    <w:rsid w:val="00057C4E"/>
    <w:rsid w:val="00060D46"/>
    <w:rsid w:val="0006551D"/>
    <w:rsid w:val="00067CAA"/>
    <w:rsid w:val="00070414"/>
    <w:rsid w:val="00073A1D"/>
    <w:rsid w:val="00076A90"/>
    <w:rsid w:val="000859F2"/>
    <w:rsid w:val="00092A61"/>
    <w:rsid w:val="00093272"/>
    <w:rsid w:val="000949FD"/>
    <w:rsid w:val="00094F40"/>
    <w:rsid w:val="000956F0"/>
    <w:rsid w:val="000A4743"/>
    <w:rsid w:val="000A7225"/>
    <w:rsid w:val="000B4418"/>
    <w:rsid w:val="000B5126"/>
    <w:rsid w:val="000B601C"/>
    <w:rsid w:val="000B67FA"/>
    <w:rsid w:val="000B7192"/>
    <w:rsid w:val="000B741A"/>
    <w:rsid w:val="000C3FD6"/>
    <w:rsid w:val="000C6B8C"/>
    <w:rsid w:val="000C7AAB"/>
    <w:rsid w:val="000D4815"/>
    <w:rsid w:val="000E232F"/>
    <w:rsid w:val="000E2EDB"/>
    <w:rsid w:val="000F1031"/>
    <w:rsid w:val="000F21C7"/>
    <w:rsid w:val="000F2638"/>
    <w:rsid w:val="0010017E"/>
    <w:rsid w:val="00104759"/>
    <w:rsid w:val="001047B3"/>
    <w:rsid w:val="00104B04"/>
    <w:rsid w:val="00106DA0"/>
    <w:rsid w:val="00115AB3"/>
    <w:rsid w:val="00120552"/>
    <w:rsid w:val="00120F19"/>
    <w:rsid w:val="001232BF"/>
    <w:rsid w:val="0012640F"/>
    <w:rsid w:val="0012682C"/>
    <w:rsid w:val="00126C32"/>
    <w:rsid w:val="001272CA"/>
    <w:rsid w:val="00130157"/>
    <w:rsid w:val="00130C35"/>
    <w:rsid w:val="00137630"/>
    <w:rsid w:val="0014041A"/>
    <w:rsid w:val="001474CA"/>
    <w:rsid w:val="001515C2"/>
    <w:rsid w:val="00153098"/>
    <w:rsid w:val="00153A47"/>
    <w:rsid w:val="00153F78"/>
    <w:rsid w:val="001606DF"/>
    <w:rsid w:val="0016172A"/>
    <w:rsid w:val="00161EAB"/>
    <w:rsid w:val="00165380"/>
    <w:rsid w:val="00166041"/>
    <w:rsid w:val="00166835"/>
    <w:rsid w:val="00172368"/>
    <w:rsid w:val="00173502"/>
    <w:rsid w:val="001816D1"/>
    <w:rsid w:val="0018446C"/>
    <w:rsid w:val="001848DE"/>
    <w:rsid w:val="00186033"/>
    <w:rsid w:val="001870A6"/>
    <w:rsid w:val="00187BE4"/>
    <w:rsid w:val="0019163A"/>
    <w:rsid w:val="00197886"/>
    <w:rsid w:val="001A0F55"/>
    <w:rsid w:val="001A10F2"/>
    <w:rsid w:val="001A1885"/>
    <w:rsid w:val="001A1C13"/>
    <w:rsid w:val="001A2A0E"/>
    <w:rsid w:val="001A2F43"/>
    <w:rsid w:val="001A36A9"/>
    <w:rsid w:val="001A52F2"/>
    <w:rsid w:val="001B27A5"/>
    <w:rsid w:val="001B4D14"/>
    <w:rsid w:val="001B6B74"/>
    <w:rsid w:val="001C034A"/>
    <w:rsid w:val="001C1A8E"/>
    <w:rsid w:val="001C714A"/>
    <w:rsid w:val="001C7ADE"/>
    <w:rsid w:val="001D1D1F"/>
    <w:rsid w:val="001D3321"/>
    <w:rsid w:val="001D36B7"/>
    <w:rsid w:val="001D6933"/>
    <w:rsid w:val="001D6B6D"/>
    <w:rsid w:val="001F019D"/>
    <w:rsid w:val="001F19DB"/>
    <w:rsid w:val="001F3947"/>
    <w:rsid w:val="001F5131"/>
    <w:rsid w:val="001F7DCC"/>
    <w:rsid w:val="00210D27"/>
    <w:rsid w:val="00215A48"/>
    <w:rsid w:val="002200BF"/>
    <w:rsid w:val="0022233E"/>
    <w:rsid w:val="0023494D"/>
    <w:rsid w:val="00241D3F"/>
    <w:rsid w:val="002426FA"/>
    <w:rsid w:val="0024275D"/>
    <w:rsid w:val="00243E9E"/>
    <w:rsid w:val="00247D52"/>
    <w:rsid w:val="00251425"/>
    <w:rsid w:val="002519D7"/>
    <w:rsid w:val="00251F88"/>
    <w:rsid w:val="002547E2"/>
    <w:rsid w:val="002645F3"/>
    <w:rsid w:val="00264E0E"/>
    <w:rsid w:val="0026520E"/>
    <w:rsid w:val="00265C2B"/>
    <w:rsid w:val="00266724"/>
    <w:rsid w:val="002705CA"/>
    <w:rsid w:val="0027314E"/>
    <w:rsid w:val="002733B9"/>
    <w:rsid w:val="00273699"/>
    <w:rsid w:val="002771EC"/>
    <w:rsid w:val="00283FFD"/>
    <w:rsid w:val="00284E63"/>
    <w:rsid w:val="002850B1"/>
    <w:rsid w:val="00285EDC"/>
    <w:rsid w:val="002873EF"/>
    <w:rsid w:val="002925F3"/>
    <w:rsid w:val="00297EB8"/>
    <w:rsid w:val="002A1F17"/>
    <w:rsid w:val="002A279D"/>
    <w:rsid w:val="002A3151"/>
    <w:rsid w:val="002A3E8B"/>
    <w:rsid w:val="002A6937"/>
    <w:rsid w:val="002B15BC"/>
    <w:rsid w:val="002B4C3A"/>
    <w:rsid w:val="002B5AB8"/>
    <w:rsid w:val="002B5CDB"/>
    <w:rsid w:val="002C03D5"/>
    <w:rsid w:val="002C1F6D"/>
    <w:rsid w:val="002C2A46"/>
    <w:rsid w:val="002C479E"/>
    <w:rsid w:val="002C544E"/>
    <w:rsid w:val="002D5AE2"/>
    <w:rsid w:val="002D6401"/>
    <w:rsid w:val="002D7419"/>
    <w:rsid w:val="002E1914"/>
    <w:rsid w:val="002E2A22"/>
    <w:rsid w:val="002E340D"/>
    <w:rsid w:val="002E5CA0"/>
    <w:rsid w:val="002E7B44"/>
    <w:rsid w:val="002F3FF8"/>
    <w:rsid w:val="002F7B57"/>
    <w:rsid w:val="0030230F"/>
    <w:rsid w:val="003025A0"/>
    <w:rsid w:val="003034D0"/>
    <w:rsid w:val="003035BF"/>
    <w:rsid w:val="0031302D"/>
    <w:rsid w:val="0032395B"/>
    <w:rsid w:val="00323A00"/>
    <w:rsid w:val="00324510"/>
    <w:rsid w:val="00325D79"/>
    <w:rsid w:val="003263E0"/>
    <w:rsid w:val="00327250"/>
    <w:rsid w:val="00327585"/>
    <w:rsid w:val="003310DE"/>
    <w:rsid w:val="003318CF"/>
    <w:rsid w:val="00331F6A"/>
    <w:rsid w:val="003323BC"/>
    <w:rsid w:val="0033461D"/>
    <w:rsid w:val="00340DA4"/>
    <w:rsid w:val="00344FD5"/>
    <w:rsid w:val="003472D9"/>
    <w:rsid w:val="0034742F"/>
    <w:rsid w:val="00347686"/>
    <w:rsid w:val="00347B60"/>
    <w:rsid w:val="00356371"/>
    <w:rsid w:val="00356E2C"/>
    <w:rsid w:val="0036068A"/>
    <w:rsid w:val="003615E8"/>
    <w:rsid w:val="00371401"/>
    <w:rsid w:val="003761B3"/>
    <w:rsid w:val="003802D8"/>
    <w:rsid w:val="0038120F"/>
    <w:rsid w:val="003851FB"/>
    <w:rsid w:val="00387102"/>
    <w:rsid w:val="003874FD"/>
    <w:rsid w:val="003875A3"/>
    <w:rsid w:val="00387B09"/>
    <w:rsid w:val="003933EF"/>
    <w:rsid w:val="00393E71"/>
    <w:rsid w:val="00394932"/>
    <w:rsid w:val="00397A70"/>
    <w:rsid w:val="003A35F2"/>
    <w:rsid w:val="003A3B3B"/>
    <w:rsid w:val="003A78D6"/>
    <w:rsid w:val="003A7A59"/>
    <w:rsid w:val="003B0631"/>
    <w:rsid w:val="003B255E"/>
    <w:rsid w:val="003B272E"/>
    <w:rsid w:val="003B3E92"/>
    <w:rsid w:val="003B4FAD"/>
    <w:rsid w:val="003B6190"/>
    <w:rsid w:val="003C3431"/>
    <w:rsid w:val="003C3B29"/>
    <w:rsid w:val="003C63E1"/>
    <w:rsid w:val="003D14C2"/>
    <w:rsid w:val="003D3482"/>
    <w:rsid w:val="003E01B2"/>
    <w:rsid w:val="003E04DD"/>
    <w:rsid w:val="003E1C40"/>
    <w:rsid w:val="003E6122"/>
    <w:rsid w:val="003E7012"/>
    <w:rsid w:val="003F006B"/>
    <w:rsid w:val="003F1435"/>
    <w:rsid w:val="003F64D3"/>
    <w:rsid w:val="003F67AE"/>
    <w:rsid w:val="003F6989"/>
    <w:rsid w:val="00401B7B"/>
    <w:rsid w:val="00402847"/>
    <w:rsid w:val="004037C3"/>
    <w:rsid w:val="00404049"/>
    <w:rsid w:val="00406DC8"/>
    <w:rsid w:val="00407959"/>
    <w:rsid w:val="00410ED8"/>
    <w:rsid w:val="00413937"/>
    <w:rsid w:val="0042292B"/>
    <w:rsid w:val="0042434F"/>
    <w:rsid w:val="00426C5F"/>
    <w:rsid w:val="00431719"/>
    <w:rsid w:val="00432DDB"/>
    <w:rsid w:val="00435C5C"/>
    <w:rsid w:val="00447C0C"/>
    <w:rsid w:val="0045181F"/>
    <w:rsid w:val="00453154"/>
    <w:rsid w:val="00456288"/>
    <w:rsid w:val="004622D3"/>
    <w:rsid w:val="0046363B"/>
    <w:rsid w:val="0046654B"/>
    <w:rsid w:val="00466F13"/>
    <w:rsid w:val="004702B6"/>
    <w:rsid w:val="00470B76"/>
    <w:rsid w:val="00471356"/>
    <w:rsid w:val="00474E1F"/>
    <w:rsid w:val="00477CB1"/>
    <w:rsid w:val="004818FB"/>
    <w:rsid w:val="004832B0"/>
    <w:rsid w:val="00486C45"/>
    <w:rsid w:val="004877AB"/>
    <w:rsid w:val="004878AF"/>
    <w:rsid w:val="00490AD2"/>
    <w:rsid w:val="00490BCC"/>
    <w:rsid w:val="00491A48"/>
    <w:rsid w:val="00491C05"/>
    <w:rsid w:val="00492712"/>
    <w:rsid w:val="004954E4"/>
    <w:rsid w:val="0049725F"/>
    <w:rsid w:val="004A21FD"/>
    <w:rsid w:val="004A47B9"/>
    <w:rsid w:val="004A514D"/>
    <w:rsid w:val="004A641B"/>
    <w:rsid w:val="004A6BC9"/>
    <w:rsid w:val="004B0621"/>
    <w:rsid w:val="004B233D"/>
    <w:rsid w:val="004B322A"/>
    <w:rsid w:val="004B5AAF"/>
    <w:rsid w:val="004C2020"/>
    <w:rsid w:val="004C3345"/>
    <w:rsid w:val="004C36DA"/>
    <w:rsid w:val="004C55F5"/>
    <w:rsid w:val="004D3410"/>
    <w:rsid w:val="004D7315"/>
    <w:rsid w:val="004E2C48"/>
    <w:rsid w:val="004E3E1D"/>
    <w:rsid w:val="004E5C84"/>
    <w:rsid w:val="004E6E7D"/>
    <w:rsid w:val="004E7BC0"/>
    <w:rsid w:val="004F06EB"/>
    <w:rsid w:val="004F0923"/>
    <w:rsid w:val="004F0CFA"/>
    <w:rsid w:val="004F11B5"/>
    <w:rsid w:val="004F17BC"/>
    <w:rsid w:val="004F3066"/>
    <w:rsid w:val="004F3946"/>
    <w:rsid w:val="004F514B"/>
    <w:rsid w:val="0050414F"/>
    <w:rsid w:val="00504737"/>
    <w:rsid w:val="00504FFC"/>
    <w:rsid w:val="005057E6"/>
    <w:rsid w:val="00506DF2"/>
    <w:rsid w:val="0051290A"/>
    <w:rsid w:val="0051391C"/>
    <w:rsid w:val="0051420F"/>
    <w:rsid w:val="00516F5A"/>
    <w:rsid w:val="0052019E"/>
    <w:rsid w:val="00520BA9"/>
    <w:rsid w:val="00521D4A"/>
    <w:rsid w:val="00522B43"/>
    <w:rsid w:val="00524A36"/>
    <w:rsid w:val="005254C5"/>
    <w:rsid w:val="00535098"/>
    <w:rsid w:val="00535428"/>
    <w:rsid w:val="00540049"/>
    <w:rsid w:val="00540927"/>
    <w:rsid w:val="00541ABB"/>
    <w:rsid w:val="005433E3"/>
    <w:rsid w:val="00544777"/>
    <w:rsid w:val="0054484D"/>
    <w:rsid w:val="0054496D"/>
    <w:rsid w:val="005558F8"/>
    <w:rsid w:val="0055650C"/>
    <w:rsid w:val="0055699E"/>
    <w:rsid w:val="005572AF"/>
    <w:rsid w:val="00562EA1"/>
    <w:rsid w:val="00575154"/>
    <w:rsid w:val="00576013"/>
    <w:rsid w:val="00581348"/>
    <w:rsid w:val="0059349D"/>
    <w:rsid w:val="005A1B9A"/>
    <w:rsid w:val="005B01F6"/>
    <w:rsid w:val="005B0E87"/>
    <w:rsid w:val="005B2F2D"/>
    <w:rsid w:val="005B5EBE"/>
    <w:rsid w:val="005B6089"/>
    <w:rsid w:val="005B6195"/>
    <w:rsid w:val="005B6FF4"/>
    <w:rsid w:val="005B787D"/>
    <w:rsid w:val="005C0122"/>
    <w:rsid w:val="005C2FEF"/>
    <w:rsid w:val="005C3823"/>
    <w:rsid w:val="005C638E"/>
    <w:rsid w:val="005D1799"/>
    <w:rsid w:val="005D1B8C"/>
    <w:rsid w:val="005D3519"/>
    <w:rsid w:val="005D5950"/>
    <w:rsid w:val="005D6DF2"/>
    <w:rsid w:val="005E22A8"/>
    <w:rsid w:val="005E2499"/>
    <w:rsid w:val="005E2610"/>
    <w:rsid w:val="005E45EA"/>
    <w:rsid w:val="005E5307"/>
    <w:rsid w:val="005F3FFC"/>
    <w:rsid w:val="005F72E0"/>
    <w:rsid w:val="00601BCB"/>
    <w:rsid w:val="0060227F"/>
    <w:rsid w:val="0060348F"/>
    <w:rsid w:val="00603D56"/>
    <w:rsid w:val="00604152"/>
    <w:rsid w:val="00607EAB"/>
    <w:rsid w:val="00610FBB"/>
    <w:rsid w:val="00611F07"/>
    <w:rsid w:val="0061308E"/>
    <w:rsid w:val="0061351F"/>
    <w:rsid w:val="006156FB"/>
    <w:rsid w:val="006207A2"/>
    <w:rsid w:val="00623C8E"/>
    <w:rsid w:val="00624A05"/>
    <w:rsid w:val="00630AE8"/>
    <w:rsid w:val="00630D1B"/>
    <w:rsid w:val="00633032"/>
    <w:rsid w:val="0063314E"/>
    <w:rsid w:val="00640AAC"/>
    <w:rsid w:val="00641821"/>
    <w:rsid w:val="006447FD"/>
    <w:rsid w:val="00645FBA"/>
    <w:rsid w:val="0065052F"/>
    <w:rsid w:val="006519F7"/>
    <w:rsid w:val="00651C9E"/>
    <w:rsid w:val="0065455E"/>
    <w:rsid w:val="00660C5A"/>
    <w:rsid w:val="00663713"/>
    <w:rsid w:val="00665471"/>
    <w:rsid w:val="00665A43"/>
    <w:rsid w:val="00666B32"/>
    <w:rsid w:val="0067301B"/>
    <w:rsid w:val="00681C23"/>
    <w:rsid w:val="00681CFD"/>
    <w:rsid w:val="00686F3F"/>
    <w:rsid w:val="006872EE"/>
    <w:rsid w:val="006929B1"/>
    <w:rsid w:val="00694A15"/>
    <w:rsid w:val="00694A63"/>
    <w:rsid w:val="006A03DA"/>
    <w:rsid w:val="006A21B0"/>
    <w:rsid w:val="006A31A9"/>
    <w:rsid w:val="006A39B0"/>
    <w:rsid w:val="006A7823"/>
    <w:rsid w:val="006A7A31"/>
    <w:rsid w:val="006B181A"/>
    <w:rsid w:val="006B3334"/>
    <w:rsid w:val="006B4CBD"/>
    <w:rsid w:val="006B535C"/>
    <w:rsid w:val="006C412B"/>
    <w:rsid w:val="006C7142"/>
    <w:rsid w:val="006C752D"/>
    <w:rsid w:val="006D08D9"/>
    <w:rsid w:val="006D0A3C"/>
    <w:rsid w:val="006D7B97"/>
    <w:rsid w:val="006E3C70"/>
    <w:rsid w:val="006E734F"/>
    <w:rsid w:val="006F10AF"/>
    <w:rsid w:val="00702A57"/>
    <w:rsid w:val="00702EB1"/>
    <w:rsid w:val="00706CF5"/>
    <w:rsid w:val="00707630"/>
    <w:rsid w:val="00711616"/>
    <w:rsid w:val="0071222B"/>
    <w:rsid w:val="00714B99"/>
    <w:rsid w:val="007156C2"/>
    <w:rsid w:val="00715793"/>
    <w:rsid w:val="007179C9"/>
    <w:rsid w:val="00720EAC"/>
    <w:rsid w:val="00724284"/>
    <w:rsid w:val="007305BE"/>
    <w:rsid w:val="007313A7"/>
    <w:rsid w:val="00732894"/>
    <w:rsid w:val="00735D77"/>
    <w:rsid w:val="00736DFE"/>
    <w:rsid w:val="0074395A"/>
    <w:rsid w:val="00746687"/>
    <w:rsid w:val="00750695"/>
    <w:rsid w:val="007523D8"/>
    <w:rsid w:val="007545C1"/>
    <w:rsid w:val="00755281"/>
    <w:rsid w:val="0076135B"/>
    <w:rsid w:val="007616E3"/>
    <w:rsid w:val="0076507A"/>
    <w:rsid w:val="007659DF"/>
    <w:rsid w:val="00766114"/>
    <w:rsid w:val="00773DA6"/>
    <w:rsid w:val="00773E23"/>
    <w:rsid w:val="00774CCA"/>
    <w:rsid w:val="007758A6"/>
    <w:rsid w:val="0077740E"/>
    <w:rsid w:val="00777FD1"/>
    <w:rsid w:val="00790D74"/>
    <w:rsid w:val="007915DD"/>
    <w:rsid w:val="0079542E"/>
    <w:rsid w:val="007955DD"/>
    <w:rsid w:val="007A04F4"/>
    <w:rsid w:val="007A32F0"/>
    <w:rsid w:val="007A53DC"/>
    <w:rsid w:val="007A6B58"/>
    <w:rsid w:val="007B4759"/>
    <w:rsid w:val="007C4379"/>
    <w:rsid w:val="007D4250"/>
    <w:rsid w:val="007D6E89"/>
    <w:rsid w:val="007D794D"/>
    <w:rsid w:val="007E157E"/>
    <w:rsid w:val="007E3FB4"/>
    <w:rsid w:val="007F1C3E"/>
    <w:rsid w:val="007F318C"/>
    <w:rsid w:val="007F4C1C"/>
    <w:rsid w:val="007F745B"/>
    <w:rsid w:val="00800AD5"/>
    <w:rsid w:val="008015E2"/>
    <w:rsid w:val="008017D9"/>
    <w:rsid w:val="008040AD"/>
    <w:rsid w:val="00804D93"/>
    <w:rsid w:val="00807F59"/>
    <w:rsid w:val="00810E5C"/>
    <w:rsid w:val="008114D9"/>
    <w:rsid w:val="008114E5"/>
    <w:rsid w:val="00815F70"/>
    <w:rsid w:val="00820606"/>
    <w:rsid w:val="00822BFB"/>
    <w:rsid w:val="00823E60"/>
    <w:rsid w:val="00830268"/>
    <w:rsid w:val="00832266"/>
    <w:rsid w:val="00840E33"/>
    <w:rsid w:val="008411DB"/>
    <w:rsid w:val="0084397C"/>
    <w:rsid w:val="00850597"/>
    <w:rsid w:val="00853106"/>
    <w:rsid w:val="008550E4"/>
    <w:rsid w:val="0085629B"/>
    <w:rsid w:val="00860E7C"/>
    <w:rsid w:val="00860F34"/>
    <w:rsid w:val="00863649"/>
    <w:rsid w:val="00863B84"/>
    <w:rsid w:val="00863F07"/>
    <w:rsid w:val="00864A15"/>
    <w:rsid w:val="008659B3"/>
    <w:rsid w:val="00865C8B"/>
    <w:rsid w:val="008669A0"/>
    <w:rsid w:val="00872EF7"/>
    <w:rsid w:val="0087436E"/>
    <w:rsid w:val="00874D20"/>
    <w:rsid w:val="00877CB7"/>
    <w:rsid w:val="008836C7"/>
    <w:rsid w:val="00883785"/>
    <w:rsid w:val="00884151"/>
    <w:rsid w:val="00884C3C"/>
    <w:rsid w:val="00884CEA"/>
    <w:rsid w:val="008857FF"/>
    <w:rsid w:val="008908B6"/>
    <w:rsid w:val="00893325"/>
    <w:rsid w:val="008A2B39"/>
    <w:rsid w:val="008A4DAE"/>
    <w:rsid w:val="008A4DC1"/>
    <w:rsid w:val="008A63B4"/>
    <w:rsid w:val="008A68AB"/>
    <w:rsid w:val="008B4220"/>
    <w:rsid w:val="008B4994"/>
    <w:rsid w:val="008B67FF"/>
    <w:rsid w:val="008B7732"/>
    <w:rsid w:val="008B7E70"/>
    <w:rsid w:val="008C1F24"/>
    <w:rsid w:val="008C3D08"/>
    <w:rsid w:val="008C44B2"/>
    <w:rsid w:val="008C551F"/>
    <w:rsid w:val="008D19DF"/>
    <w:rsid w:val="008D46D3"/>
    <w:rsid w:val="008D71E2"/>
    <w:rsid w:val="008E2EFB"/>
    <w:rsid w:val="008E3B9B"/>
    <w:rsid w:val="008F04EF"/>
    <w:rsid w:val="008F182E"/>
    <w:rsid w:val="008F3A5E"/>
    <w:rsid w:val="008F635D"/>
    <w:rsid w:val="008F702F"/>
    <w:rsid w:val="00903F0C"/>
    <w:rsid w:val="00903FA0"/>
    <w:rsid w:val="009106EF"/>
    <w:rsid w:val="00911535"/>
    <w:rsid w:val="00913C38"/>
    <w:rsid w:val="009212C8"/>
    <w:rsid w:val="009212DA"/>
    <w:rsid w:val="00921F66"/>
    <w:rsid w:val="009260CB"/>
    <w:rsid w:val="009274FF"/>
    <w:rsid w:val="00930DAD"/>
    <w:rsid w:val="009370D0"/>
    <w:rsid w:val="00940201"/>
    <w:rsid w:val="00940BF7"/>
    <w:rsid w:val="00941DFB"/>
    <w:rsid w:val="00943E14"/>
    <w:rsid w:val="00944D26"/>
    <w:rsid w:val="00950D12"/>
    <w:rsid w:val="00951DF2"/>
    <w:rsid w:val="009540AD"/>
    <w:rsid w:val="00956570"/>
    <w:rsid w:val="00956B72"/>
    <w:rsid w:val="00963B88"/>
    <w:rsid w:val="00964FFC"/>
    <w:rsid w:val="00965231"/>
    <w:rsid w:val="00965CCC"/>
    <w:rsid w:val="00966152"/>
    <w:rsid w:val="0096625F"/>
    <w:rsid w:val="00966B0F"/>
    <w:rsid w:val="00975BF2"/>
    <w:rsid w:val="00977F56"/>
    <w:rsid w:val="009812B7"/>
    <w:rsid w:val="00983438"/>
    <w:rsid w:val="0098363E"/>
    <w:rsid w:val="009922DA"/>
    <w:rsid w:val="0099397A"/>
    <w:rsid w:val="009B0FCB"/>
    <w:rsid w:val="009B2040"/>
    <w:rsid w:val="009B27FF"/>
    <w:rsid w:val="009B4CF0"/>
    <w:rsid w:val="009B60E3"/>
    <w:rsid w:val="009B795A"/>
    <w:rsid w:val="009C1F30"/>
    <w:rsid w:val="009C5439"/>
    <w:rsid w:val="009D15D0"/>
    <w:rsid w:val="009D16CE"/>
    <w:rsid w:val="009D3053"/>
    <w:rsid w:val="009D53B6"/>
    <w:rsid w:val="009E25B2"/>
    <w:rsid w:val="009E266B"/>
    <w:rsid w:val="009E5ECF"/>
    <w:rsid w:val="009F7C9E"/>
    <w:rsid w:val="00A00BCE"/>
    <w:rsid w:val="00A05EEE"/>
    <w:rsid w:val="00A06E2A"/>
    <w:rsid w:val="00A13337"/>
    <w:rsid w:val="00A13B1A"/>
    <w:rsid w:val="00A17520"/>
    <w:rsid w:val="00A20E43"/>
    <w:rsid w:val="00A2425D"/>
    <w:rsid w:val="00A3163B"/>
    <w:rsid w:val="00A318A5"/>
    <w:rsid w:val="00A413A4"/>
    <w:rsid w:val="00A45AC8"/>
    <w:rsid w:val="00A45EEB"/>
    <w:rsid w:val="00A461F6"/>
    <w:rsid w:val="00A4631B"/>
    <w:rsid w:val="00A56666"/>
    <w:rsid w:val="00A579F9"/>
    <w:rsid w:val="00A651FF"/>
    <w:rsid w:val="00A665D8"/>
    <w:rsid w:val="00A679F8"/>
    <w:rsid w:val="00A73EBA"/>
    <w:rsid w:val="00A76702"/>
    <w:rsid w:val="00A82002"/>
    <w:rsid w:val="00A83831"/>
    <w:rsid w:val="00A86AA7"/>
    <w:rsid w:val="00A87342"/>
    <w:rsid w:val="00A953C7"/>
    <w:rsid w:val="00A97461"/>
    <w:rsid w:val="00A97E8E"/>
    <w:rsid w:val="00AA45AB"/>
    <w:rsid w:val="00AA6BC4"/>
    <w:rsid w:val="00AB2DE5"/>
    <w:rsid w:val="00AB5AE4"/>
    <w:rsid w:val="00AB5E17"/>
    <w:rsid w:val="00AC115E"/>
    <w:rsid w:val="00AC2ECA"/>
    <w:rsid w:val="00AC66F2"/>
    <w:rsid w:val="00AD0857"/>
    <w:rsid w:val="00AD0ED0"/>
    <w:rsid w:val="00AD3BEC"/>
    <w:rsid w:val="00AD4CD8"/>
    <w:rsid w:val="00AD4F84"/>
    <w:rsid w:val="00AE3F50"/>
    <w:rsid w:val="00AE58AC"/>
    <w:rsid w:val="00AF09BE"/>
    <w:rsid w:val="00AF63F2"/>
    <w:rsid w:val="00AF6BD4"/>
    <w:rsid w:val="00AF76F8"/>
    <w:rsid w:val="00B01B45"/>
    <w:rsid w:val="00B0788D"/>
    <w:rsid w:val="00B113A8"/>
    <w:rsid w:val="00B135BD"/>
    <w:rsid w:val="00B13833"/>
    <w:rsid w:val="00B223C7"/>
    <w:rsid w:val="00B23FBE"/>
    <w:rsid w:val="00B270CC"/>
    <w:rsid w:val="00B31E2A"/>
    <w:rsid w:val="00B33C01"/>
    <w:rsid w:val="00B34BC4"/>
    <w:rsid w:val="00B35681"/>
    <w:rsid w:val="00B378DE"/>
    <w:rsid w:val="00B4121D"/>
    <w:rsid w:val="00B42C93"/>
    <w:rsid w:val="00B468BA"/>
    <w:rsid w:val="00B46FEC"/>
    <w:rsid w:val="00B50A4F"/>
    <w:rsid w:val="00B54185"/>
    <w:rsid w:val="00B55574"/>
    <w:rsid w:val="00B5732F"/>
    <w:rsid w:val="00B65DE8"/>
    <w:rsid w:val="00B7524D"/>
    <w:rsid w:val="00B75F0C"/>
    <w:rsid w:val="00B826EE"/>
    <w:rsid w:val="00B83A62"/>
    <w:rsid w:val="00B84CB7"/>
    <w:rsid w:val="00B87008"/>
    <w:rsid w:val="00B87434"/>
    <w:rsid w:val="00B87641"/>
    <w:rsid w:val="00B90062"/>
    <w:rsid w:val="00B92698"/>
    <w:rsid w:val="00B9362A"/>
    <w:rsid w:val="00B95E90"/>
    <w:rsid w:val="00BA157E"/>
    <w:rsid w:val="00BA1BEE"/>
    <w:rsid w:val="00BA5436"/>
    <w:rsid w:val="00BA6026"/>
    <w:rsid w:val="00BA6E5B"/>
    <w:rsid w:val="00BA770C"/>
    <w:rsid w:val="00BB0D04"/>
    <w:rsid w:val="00BB5129"/>
    <w:rsid w:val="00BB56A9"/>
    <w:rsid w:val="00BC253B"/>
    <w:rsid w:val="00BC27D5"/>
    <w:rsid w:val="00BC34A6"/>
    <w:rsid w:val="00BC62E1"/>
    <w:rsid w:val="00BD38A3"/>
    <w:rsid w:val="00BE0343"/>
    <w:rsid w:val="00BE27F7"/>
    <w:rsid w:val="00BF089F"/>
    <w:rsid w:val="00BF3546"/>
    <w:rsid w:val="00BF4EA1"/>
    <w:rsid w:val="00BF7583"/>
    <w:rsid w:val="00C00319"/>
    <w:rsid w:val="00C049E8"/>
    <w:rsid w:val="00C064A8"/>
    <w:rsid w:val="00C13F0E"/>
    <w:rsid w:val="00C147C5"/>
    <w:rsid w:val="00C15B14"/>
    <w:rsid w:val="00C164A7"/>
    <w:rsid w:val="00C23D15"/>
    <w:rsid w:val="00C26386"/>
    <w:rsid w:val="00C26C0C"/>
    <w:rsid w:val="00C30BE8"/>
    <w:rsid w:val="00C32A8D"/>
    <w:rsid w:val="00C34290"/>
    <w:rsid w:val="00C4027E"/>
    <w:rsid w:val="00C42E59"/>
    <w:rsid w:val="00C46FA2"/>
    <w:rsid w:val="00C47CEB"/>
    <w:rsid w:val="00C50372"/>
    <w:rsid w:val="00C50E9A"/>
    <w:rsid w:val="00C517E2"/>
    <w:rsid w:val="00C5225A"/>
    <w:rsid w:val="00C54C03"/>
    <w:rsid w:val="00C56A93"/>
    <w:rsid w:val="00C57363"/>
    <w:rsid w:val="00C57848"/>
    <w:rsid w:val="00C6039B"/>
    <w:rsid w:val="00C61FD9"/>
    <w:rsid w:val="00C67383"/>
    <w:rsid w:val="00C67A4F"/>
    <w:rsid w:val="00C71E18"/>
    <w:rsid w:val="00C728DA"/>
    <w:rsid w:val="00C73A2D"/>
    <w:rsid w:val="00C73BF5"/>
    <w:rsid w:val="00C75EA3"/>
    <w:rsid w:val="00C80A36"/>
    <w:rsid w:val="00C80AF0"/>
    <w:rsid w:val="00C8322B"/>
    <w:rsid w:val="00C85E70"/>
    <w:rsid w:val="00C877FD"/>
    <w:rsid w:val="00C90F0F"/>
    <w:rsid w:val="00C95223"/>
    <w:rsid w:val="00CA1E21"/>
    <w:rsid w:val="00CA2712"/>
    <w:rsid w:val="00CA27E0"/>
    <w:rsid w:val="00CA5C8F"/>
    <w:rsid w:val="00CA62CD"/>
    <w:rsid w:val="00CB17E2"/>
    <w:rsid w:val="00CB18A5"/>
    <w:rsid w:val="00CB7DA7"/>
    <w:rsid w:val="00CC15B7"/>
    <w:rsid w:val="00CC3350"/>
    <w:rsid w:val="00CC3BD5"/>
    <w:rsid w:val="00CC57E0"/>
    <w:rsid w:val="00CD1357"/>
    <w:rsid w:val="00CD3547"/>
    <w:rsid w:val="00CD7053"/>
    <w:rsid w:val="00CE4E66"/>
    <w:rsid w:val="00CE5126"/>
    <w:rsid w:val="00CF28F9"/>
    <w:rsid w:val="00CF4372"/>
    <w:rsid w:val="00D00ECA"/>
    <w:rsid w:val="00D00FE6"/>
    <w:rsid w:val="00D010EA"/>
    <w:rsid w:val="00D05EE5"/>
    <w:rsid w:val="00D10673"/>
    <w:rsid w:val="00D11323"/>
    <w:rsid w:val="00D13F96"/>
    <w:rsid w:val="00D15043"/>
    <w:rsid w:val="00D15CE5"/>
    <w:rsid w:val="00D206AB"/>
    <w:rsid w:val="00D22309"/>
    <w:rsid w:val="00D23497"/>
    <w:rsid w:val="00D23B55"/>
    <w:rsid w:val="00D23CD7"/>
    <w:rsid w:val="00D26866"/>
    <w:rsid w:val="00D30EFC"/>
    <w:rsid w:val="00D31719"/>
    <w:rsid w:val="00D32AA2"/>
    <w:rsid w:val="00D36053"/>
    <w:rsid w:val="00D40209"/>
    <w:rsid w:val="00D4100D"/>
    <w:rsid w:val="00D41358"/>
    <w:rsid w:val="00D452D8"/>
    <w:rsid w:val="00D46C34"/>
    <w:rsid w:val="00D54F86"/>
    <w:rsid w:val="00D55318"/>
    <w:rsid w:val="00D60218"/>
    <w:rsid w:val="00D6309D"/>
    <w:rsid w:val="00D6390E"/>
    <w:rsid w:val="00D650E9"/>
    <w:rsid w:val="00D650F8"/>
    <w:rsid w:val="00D66575"/>
    <w:rsid w:val="00D7386D"/>
    <w:rsid w:val="00D77463"/>
    <w:rsid w:val="00D829BB"/>
    <w:rsid w:val="00D90F41"/>
    <w:rsid w:val="00D949A1"/>
    <w:rsid w:val="00D97202"/>
    <w:rsid w:val="00DA077F"/>
    <w:rsid w:val="00DA09CE"/>
    <w:rsid w:val="00DA632F"/>
    <w:rsid w:val="00DA668C"/>
    <w:rsid w:val="00DA707D"/>
    <w:rsid w:val="00DA78A4"/>
    <w:rsid w:val="00DB4048"/>
    <w:rsid w:val="00DB6EE8"/>
    <w:rsid w:val="00DC17E6"/>
    <w:rsid w:val="00DC2871"/>
    <w:rsid w:val="00DC3034"/>
    <w:rsid w:val="00DC749A"/>
    <w:rsid w:val="00DD0C60"/>
    <w:rsid w:val="00DD1C28"/>
    <w:rsid w:val="00DD5747"/>
    <w:rsid w:val="00DD676C"/>
    <w:rsid w:val="00DE0959"/>
    <w:rsid w:val="00DE440F"/>
    <w:rsid w:val="00DE578A"/>
    <w:rsid w:val="00DF08E5"/>
    <w:rsid w:val="00DF16FB"/>
    <w:rsid w:val="00DF24A0"/>
    <w:rsid w:val="00DF5363"/>
    <w:rsid w:val="00E02339"/>
    <w:rsid w:val="00E146AE"/>
    <w:rsid w:val="00E152B7"/>
    <w:rsid w:val="00E22BB9"/>
    <w:rsid w:val="00E2423D"/>
    <w:rsid w:val="00E24985"/>
    <w:rsid w:val="00E30B48"/>
    <w:rsid w:val="00E31266"/>
    <w:rsid w:val="00E317AE"/>
    <w:rsid w:val="00E3384A"/>
    <w:rsid w:val="00E40419"/>
    <w:rsid w:val="00E404BF"/>
    <w:rsid w:val="00E40BCE"/>
    <w:rsid w:val="00E40D59"/>
    <w:rsid w:val="00E43BE1"/>
    <w:rsid w:val="00E45B2E"/>
    <w:rsid w:val="00E47CAC"/>
    <w:rsid w:val="00E5100D"/>
    <w:rsid w:val="00E52609"/>
    <w:rsid w:val="00E52B5F"/>
    <w:rsid w:val="00E5306A"/>
    <w:rsid w:val="00E53890"/>
    <w:rsid w:val="00E567C9"/>
    <w:rsid w:val="00E578BE"/>
    <w:rsid w:val="00E57E3C"/>
    <w:rsid w:val="00E62E28"/>
    <w:rsid w:val="00E6442A"/>
    <w:rsid w:val="00E7548C"/>
    <w:rsid w:val="00E805AA"/>
    <w:rsid w:val="00E80F0E"/>
    <w:rsid w:val="00E82583"/>
    <w:rsid w:val="00E86C01"/>
    <w:rsid w:val="00E91FB5"/>
    <w:rsid w:val="00E944C2"/>
    <w:rsid w:val="00EA0389"/>
    <w:rsid w:val="00EA1A2B"/>
    <w:rsid w:val="00EA2A9E"/>
    <w:rsid w:val="00EA3501"/>
    <w:rsid w:val="00EA71E8"/>
    <w:rsid w:val="00EB2442"/>
    <w:rsid w:val="00EB28F0"/>
    <w:rsid w:val="00EB340D"/>
    <w:rsid w:val="00EB527C"/>
    <w:rsid w:val="00EB548D"/>
    <w:rsid w:val="00EB55EE"/>
    <w:rsid w:val="00EB69E3"/>
    <w:rsid w:val="00EC194A"/>
    <w:rsid w:val="00EC4E05"/>
    <w:rsid w:val="00EC7BC9"/>
    <w:rsid w:val="00ED16AF"/>
    <w:rsid w:val="00ED31E3"/>
    <w:rsid w:val="00ED3470"/>
    <w:rsid w:val="00ED463F"/>
    <w:rsid w:val="00ED5377"/>
    <w:rsid w:val="00EE190F"/>
    <w:rsid w:val="00EE3F19"/>
    <w:rsid w:val="00EE648B"/>
    <w:rsid w:val="00EF0401"/>
    <w:rsid w:val="00EF075F"/>
    <w:rsid w:val="00EF32E6"/>
    <w:rsid w:val="00EF45C2"/>
    <w:rsid w:val="00EF4858"/>
    <w:rsid w:val="00EF4A69"/>
    <w:rsid w:val="00EF5974"/>
    <w:rsid w:val="00EF59E5"/>
    <w:rsid w:val="00EF5E57"/>
    <w:rsid w:val="00EF654F"/>
    <w:rsid w:val="00EF66D6"/>
    <w:rsid w:val="00EF673D"/>
    <w:rsid w:val="00EF7311"/>
    <w:rsid w:val="00F01056"/>
    <w:rsid w:val="00F06F1E"/>
    <w:rsid w:val="00F073AE"/>
    <w:rsid w:val="00F07B1E"/>
    <w:rsid w:val="00F1176E"/>
    <w:rsid w:val="00F223CE"/>
    <w:rsid w:val="00F2486E"/>
    <w:rsid w:val="00F25BD5"/>
    <w:rsid w:val="00F3003D"/>
    <w:rsid w:val="00F31EB4"/>
    <w:rsid w:val="00F33E83"/>
    <w:rsid w:val="00F3665F"/>
    <w:rsid w:val="00F3689E"/>
    <w:rsid w:val="00F37A0A"/>
    <w:rsid w:val="00F4071F"/>
    <w:rsid w:val="00F41AF8"/>
    <w:rsid w:val="00F44538"/>
    <w:rsid w:val="00F50328"/>
    <w:rsid w:val="00F50F9B"/>
    <w:rsid w:val="00F51C51"/>
    <w:rsid w:val="00F562E8"/>
    <w:rsid w:val="00F6054D"/>
    <w:rsid w:val="00F626B1"/>
    <w:rsid w:val="00F640BD"/>
    <w:rsid w:val="00F715E5"/>
    <w:rsid w:val="00F743ED"/>
    <w:rsid w:val="00F849FD"/>
    <w:rsid w:val="00F85D8F"/>
    <w:rsid w:val="00F86963"/>
    <w:rsid w:val="00F86A26"/>
    <w:rsid w:val="00F86C54"/>
    <w:rsid w:val="00F91F13"/>
    <w:rsid w:val="00F92543"/>
    <w:rsid w:val="00F944C7"/>
    <w:rsid w:val="00F97C10"/>
    <w:rsid w:val="00FA0766"/>
    <w:rsid w:val="00FA252E"/>
    <w:rsid w:val="00FA2F87"/>
    <w:rsid w:val="00FA7A52"/>
    <w:rsid w:val="00FB0F3B"/>
    <w:rsid w:val="00FB39CB"/>
    <w:rsid w:val="00FB41C5"/>
    <w:rsid w:val="00FB6846"/>
    <w:rsid w:val="00FB74D3"/>
    <w:rsid w:val="00FC40C9"/>
    <w:rsid w:val="00FC5496"/>
    <w:rsid w:val="00FC6E5D"/>
    <w:rsid w:val="00FC70AD"/>
    <w:rsid w:val="00FC7EE1"/>
    <w:rsid w:val="00FD32BC"/>
    <w:rsid w:val="00FD3620"/>
    <w:rsid w:val="00FD3BF8"/>
    <w:rsid w:val="00FD435E"/>
    <w:rsid w:val="00FD449C"/>
    <w:rsid w:val="00FD6D4B"/>
    <w:rsid w:val="00FE290C"/>
    <w:rsid w:val="00FE68C2"/>
    <w:rsid w:val="00FF1651"/>
    <w:rsid w:val="00FF3E4A"/>
    <w:rsid w:val="00FF4709"/>
    <w:rsid w:val="00FF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75434C"/>
  <w15:docId w15:val="{1580079F-6240-FA45-8384-6461C06DD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B0F3B"/>
  </w:style>
  <w:style w:type="paragraph" w:styleId="Titolo1">
    <w:name w:val="heading 1"/>
    <w:basedOn w:val="Normale"/>
    <w:next w:val="Normale"/>
    <w:link w:val="Titolo1Carattere"/>
    <w:uiPriority w:val="9"/>
    <w:qFormat/>
    <w:rsid w:val="001C714A"/>
    <w:pPr>
      <w:keepNext/>
      <w:keepLines/>
      <w:jc w:val="right"/>
      <w:outlineLvl w:val="0"/>
    </w:pPr>
    <w:rPr>
      <w:rFonts w:ascii="Calibri" w:eastAsiaTheme="majorEastAsia" w:hAnsi="Calibri" w:cstheme="majorBidi"/>
      <w:b/>
      <w:bCs/>
      <w:color w:val="548DD4" w:themeColor="text2" w:themeTint="99"/>
      <w:sz w:val="40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6172A"/>
    <w:pPr>
      <w:keepNext/>
      <w:keepLines/>
      <w:spacing w:before="200" w:after="0"/>
      <w:jc w:val="center"/>
      <w:outlineLvl w:val="1"/>
    </w:pPr>
    <w:rPr>
      <w:rFonts w:ascii="Calibri" w:eastAsiaTheme="majorEastAsia" w:hAnsi="Calibri" w:cstheme="majorBidi"/>
      <w:b/>
      <w:bCs/>
      <w:color w:val="4F81BD" w:themeColor="accent1"/>
      <w:sz w:val="5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73A2D"/>
    <w:pPr>
      <w:keepNext/>
      <w:keepLines/>
      <w:spacing w:after="0"/>
      <w:outlineLvl w:val="2"/>
    </w:pPr>
    <w:rPr>
      <w:rFonts w:ascii="Calibri" w:eastAsiaTheme="majorEastAsia" w:hAnsi="Calibri" w:cstheme="majorBidi"/>
      <w:b/>
      <w:bCs/>
      <w:color w:val="943634" w:themeColor="accent2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569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699E"/>
  </w:style>
  <w:style w:type="paragraph" w:styleId="Pidipagina">
    <w:name w:val="footer"/>
    <w:basedOn w:val="Normale"/>
    <w:link w:val="PidipaginaCarattere"/>
    <w:uiPriority w:val="99"/>
    <w:unhideWhenUsed/>
    <w:rsid w:val="005569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699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699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56B72"/>
    <w:pPr>
      <w:ind w:left="720"/>
      <w:contextualSpacing/>
    </w:pPr>
  </w:style>
  <w:style w:type="table" w:styleId="Grigliatabella">
    <w:name w:val="Table Grid"/>
    <w:basedOn w:val="Tabellanormale"/>
    <w:uiPriority w:val="59"/>
    <w:rsid w:val="00FE6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266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C17E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C17E6"/>
    <w:rPr>
      <w:b/>
      <w:bCs/>
      <w:i/>
      <w:iCs/>
      <w:color w:val="4F81BD" w:themeColor="accent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90D74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90D74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790D74"/>
    <w:rPr>
      <w:vertAlign w:val="superscript"/>
    </w:rPr>
  </w:style>
  <w:style w:type="character" w:styleId="Enfasicorsivo">
    <w:name w:val="Emphasis"/>
    <w:basedOn w:val="Carpredefinitoparagrafo"/>
    <w:uiPriority w:val="20"/>
    <w:qFormat/>
    <w:rsid w:val="00860E7C"/>
    <w:rPr>
      <w:i/>
      <w:iCs/>
    </w:rPr>
  </w:style>
  <w:style w:type="paragraph" w:customStyle="1" w:styleId="Default">
    <w:name w:val="Default"/>
    <w:rsid w:val="00AB5AE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60218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1C714A"/>
    <w:rPr>
      <w:rFonts w:ascii="Calibri" w:eastAsiaTheme="majorEastAsia" w:hAnsi="Calibri" w:cstheme="majorBidi"/>
      <w:b/>
      <w:bCs/>
      <w:color w:val="548DD4" w:themeColor="text2" w:themeTint="99"/>
      <w:sz w:val="40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6172A"/>
    <w:rPr>
      <w:rFonts w:ascii="Calibri" w:eastAsiaTheme="majorEastAsia" w:hAnsi="Calibri" w:cstheme="majorBidi"/>
      <w:b/>
      <w:bCs/>
      <w:color w:val="4F81BD" w:themeColor="accent1"/>
      <w:sz w:val="56"/>
      <w:szCs w:val="26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6172A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AD4CD8"/>
    <w:pPr>
      <w:tabs>
        <w:tab w:val="right" w:leader="dot" w:pos="9923"/>
      </w:tabs>
      <w:jc w:val="both"/>
    </w:pPr>
  </w:style>
  <w:style w:type="paragraph" w:styleId="Sommario2">
    <w:name w:val="toc 2"/>
    <w:basedOn w:val="Normale"/>
    <w:next w:val="Normale"/>
    <w:autoRedefine/>
    <w:uiPriority w:val="39"/>
    <w:unhideWhenUsed/>
    <w:rsid w:val="0016172A"/>
    <w:pPr>
      <w:spacing w:after="100"/>
      <w:ind w:left="220"/>
    </w:pPr>
  </w:style>
  <w:style w:type="character" w:styleId="Collegamentoipertestuale">
    <w:name w:val="Hyperlink"/>
    <w:basedOn w:val="Carpredefinitoparagrafo"/>
    <w:uiPriority w:val="99"/>
    <w:unhideWhenUsed/>
    <w:rsid w:val="0016172A"/>
    <w:rPr>
      <w:color w:val="0000FF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73A2D"/>
    <w:rPr>
      <w:rFonts w:ascii="Calibri" w:eastAsiaTheme="majorEastAsia" w:hAnsi="Calibri" w:cstheme="majorBidi"/>
      <w:b/>
      <w:bCs/>
      <w:color w:val="943634" w:themeColor="accent2" w:themeShade="BF"/>
      <w:sz w:val="28"/>
      <w:szCs w:val="28"/>
    </w:rPr>
  </w:style>
  <w:style w:type="paragraph" w:styleId="Sommario3">
    <w:name w:val="toc 3"/>
    <w:basedOn w:val="Normale"/>
    <w:next w:val="Normale"/>
    <w:autoRedefine/>
    <w:uiPriority w:val="39"/>
    <w:unhideWhenUsed/>
    <w:rsid w:val="002A6937"/>
    <w:pPr>
      <w:spacing w:after="100"/>
      <w:ind w:left="440"/>
    </w:pPr>
  </w:style>
  <w:style w:type="paragraph" w:customStyle="1" w:styleId="didascalia">
    <w:name w:val="didascalia"/>
    <w:basedOn w:val="Normale"/>
    <w:link w:val="didascaliaCarattere"/>
    <w:qFormat/>
    <w:rsid w:val="00C147C5"/>
    <w:pPr>
      <w:widowControl w:val="0"/>
      <w:spacing w:after="360"/>
      <w:jc w:val="both"/>
    </w:pPr>
    <w:rPr>
      <w:rFonts w:ascii="Calibri" w:eastAsia="Times New Roman" w:hAnsi="Calibri" w:cs="Arial"/>
      <w:i/>
      <w:iCs/>
      <w:noProof/>
      <w:sz w:val="18"/>
      <w:szCs w:val="18"/>
      <w:lang w:eastAsia="it-IT"/>
    </w:rPr>
  </w:style>
  <w:style w:type="character" w:customStyle="1" w:styleId="didascaliaCarattere">
    <w:name w:val="didascalia Carattere"/>
    <w:link w:val="didascalia"/>
    <w:rsid w:val="00C147C5"/>
    <w:rPr>
      <w:rFonts w:ascii="Calibri" w:eastAsia="Times New Roman" w:hAnsi="Calibri" w:cs="Arial"/>
      <w:i/>
      <w:iCs/>
      <w:noProof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C443D-7D2E-7246-B9D4-CBD173DC0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</Pages>
  <Words>1531</Words>
  <Characters>8731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Riva</dc:creator>
  <cp:lastModifiedBy>andrea.bulgarelli@vg.camcom.it</cp:lastModifiedBy>
  <cp:revision>3</cp:revision>
  <cp:lastPrinted>2018-09-20T10:59:00Z</cp:lastPrinted>
  <dcterms:created xsi:type="dcterms:W3CDTF">2018-10-22T15:44:00Z</dcterms:created>
  <dcterms:modified xsi:type="dcterms:W3CDTF">2018-10-22T16:08:00Z</dcterms:modified>
</cp:coreProperties>
</file>